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31" w:rsidRDefault="008C2931" w:rsidP="008C2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Пояснительная записка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 докладу главы Дзержинского района о достигнутых значениях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показателей по оценке эффективности деятельности органов местного самоуправления за 2021 год и их планируемых значениях на 3-летний период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4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Доклад главы Дзержинского района о результатах мониторинга эффективности деятельности органов местного самоуправления городских округов и муниципальных районов   по итогам 2021 года (далее –   доклад) подготовлен в целях исполнения: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4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4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Постановления Правительства Российской Федерации от 17.12.2012 №1317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управления» (далее – постановление Правительства РФ от 17.12.2012 №1317);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4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- Указа Губернатора Красноярского края от 13.04.2009 № 60-уг «Об оценке эффективности деятельности органов местного самоуправления городских округов и муниципальных районов Красноярского края».</w:t>
      </w:r>
    </w:p>
    <w:p w:rsidR="008C2931" w:rsidRPr="008C2931" w:rsidRDefault="008C2931" w:rsidP="008C2931">
      <w:pPr>
        <w:autoSpaceDE w:val="0"/>
        <w:autoSpaceDN w:val="0"/>
        <w:adjustRightInd w:val="0"/>
        <w:spacing w:after="0" w:line="240" w:lineRule="auto"/>
        <w:ind w:right="24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Доклад, утвержденный  главой района, размещен на официальном сайте администрации района с адресом в информационно-телекоммуникационной сети Интернет - </w:t>
      </w:r>
      <w:hyperlink r:id="rId6" w:history="1">
        <w:r>
          <w:rPr>
            <w:rFonts w:ascii="Times New Roman CYR" w:hAnsi="Times New Roman CYR" w:cs="Times New Roman CYR"/>
            <w:sz w:val="28"/>
            <w:szCs w:val="28"/>
          </w:rPr>
          <w:t>www.adm-dzergin.ru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(раздел «Отдел экономики и труда»).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I. Экономическое развитие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2931" w:rsidRP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color w:val="000000"/>
          <w:sz w:val="12"/>
          <w:szCs w:val="12"/>
        </w:rPr>
      </w:pPr>
      <w:r w:rsidRPr="008C29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Число субъектов малого и среднего предпринимательства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36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Территориального органа федеральной службы государственной статистики по Красноярскому краю, количество индивидуальных предпринимателей за   2021 год осталось на уровне прошлого года и составило 238 единиц. Количество малых предприятий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микропредприятий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 2021 год составило 44 единицы, количество крестьянско-фермерских хозяйств - 10 единиц.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left="20" w:right="360"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Число субъектов малого и среднего предпринимательства в расчете на 10 000 человек населения по району в 2021 году составило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228,96 </w:t>
      </w:r>
      <w:r>
        <w:rPr>
          <w:rFonts w:ascii="Times New Roman CYR" w:hAnsi="Times New Roman CYR" w:cs="Times New Roman CYR"/>
          <w:sz w:val="28"/>
          <w:szCs w:val="28"/>
        </w:rPr>
        <w:t xml:space="preserve">единиц.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прогнозируемом 2022 году ожидается увеличение на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5,38 единиц</w:t>
      </w:r>
      <w:r>
        <w:rPr>
          <w:rFonts w:ascii="Times New Roman CYR" w:hAnsi="Times New Roman CYR" w:cs="Times New Roman CYR"/>
          <w:sz w:val="28"/>
          <w:szCs w:val="28"/>
        </w:rPr>
        <w:t xml:space="preserve">, в 2023 году на 5,04 единицы, в 2024 году   на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4,5 единиц</w:t>
      </w:r>
      <w:r>
        <w:rPr>
          <w:rFonts w:ascii="Times New Roman CYR" w:hAnsi="Times New Roman CYR" w:cs="Times New Roman CYR"/>
          <w:sz w:val="28"/>
          <w:szCs w:val="28"/>
        </w:rPr>
        <w:t>. Увеличение планируется за счет снижения   численности населения.</w:t>
      </w:r>
    </w:p>
    <w:p w:rsidR="008C2931" w:rsidRPr="008C2931" w:rsidRDefault="008C2931" w:rsidP="008C2931">
      <w:pPr>
        <w:autoSpaceDE w:val="0"/>
        <w:autoSpaceDN w:val="0"/>
        <w:adjustRightInd w:val="0"/>
        <w:spacing w:after="0" w:line="240" w:lineRule="auto"/>
        <w:ind w:right="36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Структура предприятий по видам экономической деятельности в течение ряда лет остается практически не изменой. Отраслевое распределение малых предприятий характеризуется высокой долей предприятий розничной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торговли. Торговля и сфера услуг являются наиболее предпочтительными для малых предприятий. 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2931" w:rsidRPr="008C2931" w:rsidRDefault="008C2931" w:rsidP="008C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8C29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 xml:space="preserve">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В 2021 году среднесписочная численность работников (без внешних совместителей) малых и средних предприятий с учетом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микропредприятий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составило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1150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 или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36,21 </w:t>
      </w:r>
      <w:r>
        <w:rPr>
          <w:rFonts w:ascii="Times New Roman CYR" w:hAnsi="Times New Roman CYR" w:cs="Times New Roman CYR"/>
          <w:sz w:val="28"/>
          <w:szCs w:val="28"/>
        </w:rPr>
        <w:t xml:space="preserve">% в среднесписочной численности работников всех предприятий и организаций района. Среднесписочная численность работников малых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микропредприятий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 уровню 2020 года снизилась на 15 человек и в 2021 году составило 585 человек. В 2021 году прекратили осуществлять деятельность 6 малых предприятий.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Уровень развития малого и среднего предпринимательства на территории муниципального образования во многом зависит от эффективности мер поддержки предпринимательства, принимаемых органами местного самоуправления, в том числе и мер финансовой поддержки.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Поддержка и развитие малого и среднего предпринимательства осуществляется в рамках мероприятий муниципальной целевой программы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малого и среднего предпринимательства и инвестиционного климата в Дзержинском районе на 2014-2024 годы».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80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2021 году для развития предпринимательства направлено 29,82 млн. рублей, за счет средств краевого бюджета 29,52 млн. рублей, за счет средств местного бюджета – 298,884 тыс. рублей. Поддержка оказана 11 субъектам малого предпринимательства. Результатом реализации программных мероприятий в 2021 году стало создание на территории района 21 рабочее место, сохранено 283 рабочих места и привлечение инвестиций 58,59 млн. рублей.  </w:t>
      </w:r>
    </w:p>
    <w:p w:rsidR="008C2931" w:rsidRDefault="008C2931" w:rsidP="008C2931">
      <w:pPr>
        <w:widowControl w:val="0"/>
        <w:autoSpaceDE w:val="0"/>
        <w:autoSpaceDN w:val="0"/>
        <w:adjustRightInd w:val="0"/>
        <w:spacing w:after="0" w:line="240" w:lineRule="auto"/>
        <w:ind w:right="34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Реализация мероприятий муниципальной поддержки в прогнозном периоде будет способствовать росту оборота малых и средних предприятий в стоимостном выражении, а также увеличению объема инвестиций в основной капитал малых организаций.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992"/>
        <w:gridCol w:w="992"/>
        <w:gridCol w:w="851"/>
        <w:gridCol w:w="1134"/>
        <w:gridCol w:w="1134"/>
      </w:tblGrid>
      <w:tr w:rsidR="008C2931" w:rsidTr="008C2931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8C2931" w:rsidTr="008C2931">
        <w:trPr>
          <w:trHeight w:val="60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2021 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2022 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2024 прогноз</w:t>
            </w:r>
          </w:p>
        </w:tc>
      </w:tr>
      <w:tr w:rsidR="008C2931" w:rsidTr="008C2931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1. Количество малых 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микропредприятий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44</w:t>
            </w:r>
          </w:p>
        </w:tc>
      </w:tr>
      <w:tr w:rsidR="008C2931" w:rsidTr="008C2931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2. Количество средних предприятий,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</w:tr>
      <w:tr w:rsidR="008C2931" w:rsidTr="008C2931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 Количество индивидуальных предпринимателей,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239</w:t>
            </w:r>
          </w:p>
        </w:tc>
      </w:tr>
      <w:tr w:rsidR="008C2931" w:rsidTr="008C2931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3.1. в том числе количество крестьянско-фермерских хозяйств,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</w:p>
        </w:tc>
      </w:tr>
      <w:tr w:rsidR="008C2931" w:rsidTr="008C2931">
        <w:trPr>
          <w:trHeight w:val="12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4. Численность постоянного населения муниципального, городского округа (муниципального района)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</w:rPr>
              <w:t>на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</w:rPr>
              <w:t>конец отчетного года</w:t>
            </w:r>
            <w:r>
              <w:rPr>
                <w:rFonts w:ascii="Times New Roman CYR" w:hAnsi="Times New Roman CYR" w:cs="Times New Roman CYR"/>
                <w:color w:val="000000"/>
              </w:rPr>
              <w:t>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12 789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12 404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12 119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11 864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11 645</w:t>
            </w:r>
          </w:p>
        </w:tc>
      </w:tr>
      <w:tr w:rsidR="008C2931" w:rsidTr="008C2931">
        <w:trPr>
          <w:trHeight w:val="114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5. Число субъектов малого и среднего предпринимательства, ед. на 10 000 чел. ((стр.1+стр.2+стр.3)/стр.4*10 000)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226,76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228,96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234,34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239,38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243,88</w:t>
            </w:r>
          </w:p>
        </w:tc>
      </w:tr>
      <w:tr w:rsidR="008C2931" w:rsidTr="008C2931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6. Среднесписочная численность работников малых 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микропредприятий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585</w:t>
            </w:r>
          </w:p>
        </w:tc>
      </w:tr>
      <w:tr w:rsidR="008C2931" w:rsidTr="008C2931">
        <w:trPr>
          <w:trHeight w:val="12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7. Среднесписочная численность работников у индивидуальных предпринимателей (наемных работников),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142</w:t>
            </w:r>
          </w:p>
        </w:tc>
      </w:tr>
      <w:tr w:rsidR="008C2931" w:rsidTr="008C2931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7.1. в том числе в крестьянско-фермерских хозяйствах,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16</w:t>
            </w:r>
          </w:p>
        </w:tc>
      </w:tr>
      <w:tr w:rsidR="008C2931" w:rsidTr="008C2931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8. Среднесписочная численность работников средних предприятий,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167</w:t>
            </w:r>
          </w:p>
        </w:tc>
      </w:tr>
      <w:tr w:rsidR="008C2931" w:rsidTr="008C2931">
        <w:trPr>
          <w:trHeight w:val="18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9.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2 196</w:t>
            </w:r>
          </w:p>
        </w:tc>
      </w:tr>
      <w:tr w:rsidR="008C2931" w:rsidTr="008C2931">
        <w:trPr>
          <w:trHeight w:val="28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10.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((стр.3+стр.6+стр.7+стр.8 / (стр.3+стр.6+стр.7+стр.9)*100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35,83</w:t>
            </w:r>
          </w:p>
        </w:tc>
      </w:tr>
    </w:tbl>
    <w:p w:rsidR="008C2931" w:rsidRDefault="008C2931" w:rsidP="008C2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2931" w:rsidRPr="008C2931" w:rsidRDefault="008C2931" w:rsidP="008C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8C2931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 xml:space="preserve"> Объем инвестиций в основной капитал (за исключением бюджетных средств) в расчете на 1 человека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34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Устойчивое состояние и успешное развитие района во многом зависит от инвестиционной активности, сложившейся на территории района. На сегодняшний день одной из наиболее важных задач является привлечение инвестиций в экономику района. Предприятия вкладывают значительные средства в обновление основных средств. Основным источником финансирования инвестиций являются привлеченные средства.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left="120" w:right="340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2021 году в экономику района привлечено 244 760 тыс. рублей инвестиций в основной капитал за счет всех источников финансирования,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уровню 2020 года увеличение на 59,2% в действующих ценах, в сопоставимых на 48,23% (в 2020 году 153 740 тыс. рублей). Объем инвестиций в основной капитал (за исключением бюджетных средств) составляет 8 110,83 рублей в расчете на 1 жителя района, что больше данного показателя 2020 года на 15% в действующих ценах, в сопоставимых ценах </w:t>
      </w:r>
      <w:r w:rsidR="00F0504C">
        <w:rPr>
          <w:rFonts w:ascii="Times New Roman CYR" w:hAnsi="Times New Roman CYR" w:cs="Times New Roman CYR"/>
          <w:sz w:val="28"/>
          <w:szCs w:val="28"/>
        </w:rPr>
        <w:t>на 7</w:t>
      </w:r>
      <w:r>
        <w:rPr>
          <w:rFonts w:ascii="Times New Roman CYR" w:hAnsi="Times New Roman CYR" w:cs="Times New Roman CYR"/>
          <w:sz w:val="28"/>
          <w:szCs w:val="28"/>
        </w:rPr>
        <w:t xml:space="preserve">,1% (в 2020 </w:t>
      </w:r>
      <w:r w:rsidR="00F0504C">
        <w:rPr>
          <w:rFonts w:ascii="Times New Roman CYR" w:hAnsi="Times New Roman CYR" w:cs="Times New Roman CYR"/>
          <w:sz w:val="28"/>
          <w:szCs w:val="28"/>
        </w:rPr>
        <w:t>году 7</w:t>
      </w:r>
      <w:r>
        <w:rPr>
          <w:rFonts w:ascii="Times New Roman CYR" w:hAnsi="Times New Roman CYR" w:cs="Times New Roman CYR"/>
          <w:sz w:val="28"/>
          <w:szCs w:val="28"/>
        </w:rPr>
        <w:t xml:space="preserve"> 051,21 рубль). В отчетном периоде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инвестиции распределились по таким видам деятельности, как: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340" w:firstLine="851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i/>
          <w:iCs/>
          <w:spacing w:val="-1"/>
          <w:sz w:val="28"/>
          <w:szCs w:val="28"/>
          <w:highlight w:val="white"/>
        </w:rPr>
        <w:t xml:space="preserve">«Образование» </w:t>
      </w:r>
      <w:r w:rsidR="00F0504C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составил 93 723 тыс. рубля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, к уровню 2020 года увеличение на 72,3% и составило 50 368 тыс. рублей.  </w:t>
      </w:r>
      <w:r>
        <w:rPr>
          <w:rFonts w:ascii="Times New Roman CYR" w:hAnsi="Times New Roman CYR" w:cs="Times New Roman CYR"/>
          <w:kern w:val="27"/>
          <w:sz w:val="28"/>
          <w:szCs w:val="28"/>
        </w:rPr>
        <w:t xml:space="preserve">В 2021 году начато строительство детского сада в с. Дзержинское на 190 мест. </w:t>
      </w:r>
    </w:p>
    <w:p w:rsidR="008C2931" w:rsidRDefault="008C2931" w:rsidP="008C2931">
      <w:pPr>
        <w:autoSpaceDE w:val="0"/>
        <w:autoSpaceDN w:val="0"/>
        <w:adjustRightInd w:val="0"/>
        <w:spacing w:after="0" w:line="276" w:lineRule="auto"/>
        <w:ind w:right="340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"Деятельность в области здравоохранения и </w:t>
      </w:r>
      <w:r w:rsidR="00E27358">
        <w:rPr>
          <w:rFonts w:ascii="Times New Roman CYR" w:hAnsi="Times New Roman CYR" w:cs="Times New Roman CYR"/>
          <w:i/>
          <w:iCs/>
          <w:sz w:val="28"/>
          <w:szCs w:val="28"/>
        </w:rPr>
        <w:t>социальных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услуг" </w:t>
      </w:r>
      <w:r>
        <w:rPr>
          <w:rFonts w:ascii="Times New Roman CYR" w:hAnsi="Times New Roman CYR" w:cs="Times New Roman CYR"/>
          <w:sz w:val="28"/>
          <w:szCs w:val="28"/>
        </w:rPr>
        <w:t xml:space="preserve">составил 38 860 тыс. </w:t>
      </w:r>
      <w:r w:rsidR="00F0504C">
        <w:rPr>
          <w:rFonts w:ascii="Times New Roman CYR" w:hAnsi="Times New Roman CYR" w:cs="Times New Roman CYR"/>
          <w:sz w:val="28"/>
          <w:szCs w:val="28"/>
        </w:rPr>
        <w:t>рублей, к</w:t>
      </w: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уровню 2020 года увеличение в 7,5 раз и составило 5 012 тыс. рублей. </w:t>
      </w:r>
      <w:r>
        <w:rPr>
          <w:rFonts w:ascii="Times New Roman CYR" w:hAnsi="Times New Roman CYR" w:cs="Times New Roman CYR"/>
          <w:sz w:val="28"/>
          <w:szCs w:val="28"/>
        </w:rPr>
        <w:t xml:space="preserve"> В 2021 году КГБУЗ «Дзержинская РБ» получены: автомобиль скорой медицинской помощи и легковой автомобиль LADA VESTA; анализатор биохимический Chem-7 полуавтомат, переносной; аппарат рентгеновский передвижной палатный «ПАРУС</w:t>
      </w:r>
      <w:r w:rsidR="00F0504C">
        <w:rPr>
          <w:rFonts w:ascii="Times New Roman CYR" w:hAnsi="Times New Roman CYR" w:cs="Times New Roman CYR"/>
          <w:sz w:val="28"/>
          <w:szCs w:val="28"/>
        </w:rPr>
        <w:t>»; цифровой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F0504C">
        <w:rPr>
          <w:rFonts w:ascii="Times New Roman CYR" w:hAnsi="Times New Roman CYR" w:cs="Times New Roman CYR"/>
          <w:sz w:val="28"/>
          <w:szCs w:val="28"/>
        </w:rPr>
        <w:t>маммограф</w:t>
      </w:r>
      <w:proofErr w:type="spellEnd"/>
      <w:r w:rsidR="00F0504C">
        <w:rPr>
          <w:rFonts w:ascii="Times New Roman CYR" w:hAnsi="Times New Roman CYR" w:cs="Times New Roman CYR"/>
          <w:sz w:val="28"/>
          <w:szCs w:val="28"/>
        </w:rPr>
        <w:t>; цифровой</w:t>
      </w:r>
      <w:r>
        <w:rPr>
          <w:rFonts w:ascii="Times New Roman CYR" w:hAnsi="Times New Roman CYR" w:cs="Times New Roman CYR"/>
          <w:sz w:val="28"/>
          <w:szCs w:val="28"/>
        </w:rPr>
        <w:t xml:space="preserve"> ФЛГ </w:t>
      </w:r>
      <w:r w:rsidR="00F0504C">
        <w:rPr>
          <w:rFonts w:ascii="Times New Roman CYR" w:hAnsi="Times New Roman CYR" w:cs="Times New Roman CYR"/>
          <w:sz w:val="28"/>
          <w:szCs w:val="28"/>
        </w:rPr>
        <w:t>аппарат; ФГДС</w:t>
      </w:r>
      <w:r>
        <w:rPr>
          <w:rFonts w:ascii="Times New Roman CYR" w:hAnsi="Times New Roman CYR" w:cs="Times New Roman CYR"/>
          <w:sz w:val="28"/>
          <w:szCs w:val="28"/>
        </w:rPr>
        <w:t xml:space="preserve"> аппарат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Пентакс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60"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инвестиций за счет бюджетных средств в 2021 году составил 142 596 тыс. рублей, к уровню 2020 года увеличение в 2 </w:t>
      </w:r>
      <w:r w:rsidR="00F0504C">
        <w:rPr>
          <w:rFonts w:ascii="Times New Roman CYR" w:hAnsi="Times New Roman CYR" w:cs="Times New Roman CYR"/>
          <w:sz w:val="28"/>
          <w:szCs w:val="28"/>
        </w:rPr>
        <w:t>раза (</w:t>
      </w:r>
      <w:r>
        <w:rPr>
          <w:rFonts w:ascii="Times New Roman CYR" w:hAnsi="Times New Roman CYR" w:cs="Times New Roman CYR"/>
          <w:sz w:val="28"/>
          <w:szCs w:val="28"/>
        </w:rPr>
        <w:t xml:space="preserve">в 2020 году 63 139 тыс. рублей).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2021 году в сфере образования   произведен капитальный ремонт крыши здания </w:t>
      </w:r>
      <w:r w:rsidR="00F0504C">
        <w:rPr>
          <w:rFonts w:ascii="Times New Roman CYR" w:hAnsi="Times New Roman CYR" w:cs="Times New Roman CYR"/>
          <w:sz w:val="28"/>
          <w:szCs w:val="28"/>
          <w:highlight w:val="white"/>
        </w:rPr>
        <w:t>СШ; замена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оконных блоков в СШ; приобретение ограждения территории детского сада; проведен ремонт в малом спортивном зале МБОУ ДСШ №2; заменено котловое оборудование в котельных СШ; проведен ремонт теплотрассы и капитальный ремонт отопительной </w:t>
      </w:r>
      <w:r w:rsidR="00F0504C">
        <w:rPr>
          <w:rFonts w:ascii="Times New Roman CYR" w:hAnsi="Times New Roman CYR" w:cs="Times New Roman CYR"/>
          <w:sz w:val="28"/>
          <w:szCs w:val="28"/>
          <w:highlight w:val="white"/>
        </w:rPr>
        <w:t>системы в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Шеломковской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СОШ. В дошкольные образовательные учреждения приобретены малые архитектурные формы.  В области культуры во все клубы района приобретено оборудование </w:t>
      </w:r>
      <w:r>
        <w:rPr>
          <w:rFonts w:ascii="Times New Roman CYR" w:hAnsi="Times New Roman CYR" w:cs="Times New Roman CYR"/>
          <w:sz w:val="28"/>
          <w:szCs w:val="28"/>
        </w:rPr>
        <w:t xml:space="preserve">звуковое, световое, мебель, одежда для сцены РДК. Отремонтировано 12 клубов с проведением капитального и косметического ремонта, отремонтирована вентиляция в клубе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Усолка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; ремонт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отмостки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крыльца в клубе 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Денисово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; установка двери в клубе 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Шеломки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; установка козырька в клубе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Канарай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; ремонт козырька, ремонт котла, ремонт отопления в клубе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Улюколь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; ремонт печи в клубе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Макарово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 проведены работы по электротехническим измерениям сетей и электрооборудования во всех клубах, приобретены огнетушители. Приобретён детский лабиринт для детей дошкольного и младшего школьного возраста.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8C2931" w:rsidRPr="00F0504C" w:rsidRDefault="008C2931" w:rsidP="00F0504C">
      <w:pPr>
        <w:autoSpaceDE w:val="0"/>
        <w:autoSpaceDN w:val="0"/>
        <w:adjustRightInd w:val="0"/>
        <w:spacing w:line="252" w:lineRule="auto"/>
        <w:ind w:righ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На основании закона Красноярского края «О краевом бюджете на 2022 год и плановый период 2023-2024 годов № 2-255 от 09.12.2021г. </w:t>
      </w:r>
      <w:r w:rsidR="00F0504C">
        <w:rPr>
          <w:rFonts w:ascii="Times New Roman CYR" w:hAnsi="Times New Roman CYR" w:cs="Times New Roman CYR"/>
          <w:sz w:val="28"/>
          <w:szCs w:val="28"/>
        </w:rPr>
        <w:t>в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году планируется   объем инвестиций 126</w:t>
      </w:r>
      <w:r w:rsidR="00F0504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211,8 тыс. рублей, за счет строительства детского сада на 190 мест в с. Дзержинское. </w:t>
      </w:r>
      <w:r w:rsidR="00F0504C">
        <w:rPr>
          <w:rFonts w:ascii="Times New Roman CYR" w:hAnsi="Times New Roman CYR" w:cs="Times New Roman CYR"/>
          <w:sz w:val="28"/>
          <w:szCs w:val="28"/>
        </w:rPr>
        <w:t>В прогнозном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4C">
        <w:rPr>
          <w:rFonts w:ascii="Times New Roman CYR" w:hAnsi="Times New Roman CYR" w:cs="Times New Roman CYR"/>
          <w:sz w:val="28"/>
          <w:szCs w:val="28"/>
        </w:rPr>
        <w:t>периоде в</w:t>
      </w:r>
      <w:r>
        <w:rPr>
          <w:rFonts w:ascii="Times New Roman CYR" w:hAnsi="Times New Roman CYR" w:cs="Times New Roman CYR"/>
          <w:sz w:val="28"/>
          <w:szCs w:val="28"/>
        </w:rPr>
        <w:t xml:space="preserve"> 2023 году планируется - 19 161,3 тыс. рублей. </w:t>
      </w:r>
      <w:r w:rsidR="00F0504C">
        <w:rPr>
          <w:rFonts w:ascii="Times New Roman CYR" w:hAnsi="Times New Roman CYR" w:cs="Times New Roman CYR"/>
          <w:sz w:val="28"/>
          <w:szCs w:val="28"/>
        </w:rPr>
        <w:t>Досуговый</w:t>
      </w:r>
      <w:r>
        <w:rPr>
          <w:rFonts w:ascii="Times New Roman CYR" w:hAnsi="Times New Roman CYR" w:cs="Times New Roman CYR"/>
          <w:sz w:val="28"/>
          <w:szCs w:val="28"/>
        </w:rPr>
        <w:t xml:space="preserve"> центр в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Ашпатск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- 11 000 тыс. рублей. Быстровозводимая крытая спортивная площадка - 8 161, 3 тыс.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рублей.  </w:t>
      </w:r>
      <w:r w:rsidR="00F0504C">
        <w:rPr>
          <w:rFonts w:ascii="Times New Roman CYR" w:hAnsi="Times New Roman CYR" w:cs="Times New Roman CYR"/>
          <w:sz w:val="28"/>
          <w:szCs w:val="28"/>
        </w:rPr>
        <w:t>В прогнозном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4C">
        <w:rPr>
          <w:rFonts w:ascii="Times New Roman CYR" w:hAnsi="Times New Roman CYR" w:cs="Times New Roman CYR"/>
          <w:sz w:val="28"/>
          <w:szCs w:val="28"/>
        </w:rPr>
        <w:t>периоде в</w:t>
      </w:r>
      <w:r>
        <w:rPr>
          <w:rFonts w:ascii="Times New Roman CYR" w:hAnsi="Times New Roman CYR" w:cs="Times New Roman CYR"/>
          <w:sz w:val="28"/>
          <w:szCs w:val="28"/>
        </w:rPr>
        <w:t xml:space="preserve"> 2024 году планируется - 26 000 тыс. рублей. </w:t>
      </w:r>
      <w:r w:rsidR="00F0504C">
        <w:rPr>
          <w:rFonts w:ascii="Times New Roman CYR" w:hAnsi="Times New Roman CYR" w:cs="Times New Roman CYR"/>
          <w:sz w:val="28"/>
          <w:szCs w:val="28"/>
        </w:rPr>
        <w:t>Досуговый</w:t>
      </w:r>
      <w:r>
        <w:rPr>
          <w:rFonts w:ascii="Times New Roman CYR" w:hAnsi="Times New Roman CYR" w:cs="Times New Roman CYR"/>
          <w:sz w:val="28"/>
          <w:szCs w:val="28"/>
        </w:rPr>
        <w:t xml:space="preserve"> центр в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Ашпатск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r w:rsidR="00F0504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04C">
        <w:rPr>
          <w:rFonts w:ascii="Times New Roman CYR" w:hAnsi="Times New Roman CYR" w:cs="Times New Roman CYR"/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40"/>
        <w:gridCol w:w="1060"/>
        <w:gridCol w:w="1060"/>
        <w:gridCol w:w="1320"/>
        <w:gridCol w:w="1300"/>
        <w:gridCol w:w="1200"/>
      </w:tblGrid>
      <w:tr w:rsidR="008C2931">
        <w:trPr>
          <w:trHeight w:val="289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 показателя и единицы измерения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Значения показателя</w:t>
            </w:r>
          </w:p>
        </w:tc>
      </w:tr>
      <w:tr w:rsidR="008C2931">
        <w:trPr>
          <w:trHeight w:val="60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2020 факт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2021 факт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2022 оценка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2023 прогноз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2024 прогноз</w:t>
            </w:r>
          </w:p>
        </w:tc>
      </w:tr>
      <w:tr w:rsidR="008C2931">
        <w:trPr>
          <w:trHeight w:val="15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153 740,00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244 760,00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257 487,52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270 361,90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283 339,27</w:t>
            </w:r>
          </w:p>
        </w:tc>
      </w:tr>
      <w:tr w:rsidR="008C2931">
        <w:trPr>
          <w:trHeight w:val="81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1.1.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Темп роста в действующих ценах, к соответствующему периоду предыдущего года,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127,68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159,20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104,80</w:t>
            </w:r>
          </w:p>
        </w:tc>
      </w:tr>
      <w:tr w:rsidR="008C2931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1.2. Индекс-дефлятор,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107,40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104,80</w:t>
            </w:r>
          </w:p>
        </w:tc>
      </w:tr>
      <w:tr w:rsidR="008C2931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1.3. Темп роста в сопоставимых ценах, к соответствующему периоду предыдущего года,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119,22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148,23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100,00</w:t>
            </w:r>
          </w:p>
        </w:tc>
      </w:tr>
      <w:tr w:rsidR="008C2931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63 139,00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142 596,00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126 211,80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19 161,3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26 000</w:t>
            </w:r>
          </w:p>
        </w:tc>
      </w:tr>
      <w:tr w:rsidR="008C2931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 Объем инвестиций без бюджетных средств, тыс. руб. (стр. 1 – стр. 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90 601,00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102 164,00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131 275,72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251 200,60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257 339,27</w:t>
            </w:r>
          </w:p>
        </w:tc>
      </w:tr>
      <w:tr w:rsidR="008C2931">
        <w:trPr>
          <w:trHeight w:val="12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</w:rPr>
              <w:t xml:space="preserve">Среднегодовая </w:t>
            </w:r>
            <w:r>
              <w:rPr>
                <w:rFonts w:ascii="Times New Roman CYR" w:hAnsi="Times New Roman CYR" w:cs="Times New Roman CYR"/>
                <w:color w:val="000000"/>
              </w:rPr>
              <w:t>численность населения муниципального, городского округа (муниципального района), чел.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12 849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12 596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12 262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11 992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11 755</w:t>
            </w:r>
          </w:p>
        </w:tc>
      </w:tr>
      <w:tr w:rsidR="008C2931">
        <w:trPr>
          <w:trHeight w:val="111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5.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7 051,21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8 110,83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10 705,9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20 947,35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21 891,90</w:t>
            </w:r>
          </w:p>
        </w:tc>
      </w:tr>
    </w:tbl>
    <w:p w:rsidR="008C2931" w:rsidRDefault="008C2931" w:rsidP="008C2931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района инвестиционные проекты не реализуются.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2931" w:rsidRPr="00F0504C" w:rsidRDefault="008C2931" w:rsidP="00F0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F0504C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округов (муниципального района)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2021 год площадь земельных участков, являющихся объектами налогообложения земельным налогом к уровню 2020 года увеличилась на 18 га</w:t>
      </w:r>
      <w:proofErr w:type="gramStart"/>
      <w:r w:rsidR="00F0504C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составило 60 774 га. (в 2020 году - 60 756 га.).  Доля площади земельных участков, являющихся объектами налогообложения земельным налогом, в общей площади территории района (356 851 га.) составляет 17,03%.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Рост площади земельных участков, являющихся объектами налогообложения земельным налогом, обусловлен следующими причинами: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выкуп земельных участков из муниципальной собственности;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предоставление земельных участков муниципальной собственности бесплатно в собственность многодетным семьям.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80"/>
        <w:rPr>
          <w:rFonts w:ascii="Arial" w:hAnsi="Arial" w:cs="Arial"/>
          <w:sz w:val="16"/>
          <w:szCs w:val="16"/>
        </w:rPr>
      </w:pPr>
    </w:p>
    <w:p w:rsidR="008C2931" w:rsidRPr="00F0504C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F0504C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Доля прибыльных сельскохозяйственных организаций в общем их числе</w:t>
      </w:r>
    </w:p>
    <w:p w:rsidR="008C2931" w:rsidRDefault="008C2931" w:rsidP="00F0504C">
      <w:pPr>
        <w:autoSpaceDE w:val="0"/>
        <w:autoSpaceDN w:val="0"/>
        <w:adjustRightInd w:val="0"/>
        <w:spacing w:after="0" w:line="252" w:lineRule="auto"/>
        <w:ind w:right="19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Дзержинский район сельскохозяйственный, занимается растениеводством и животноводством. В сводной годовой бухгалтерской отчетности за 2021 год по району включено 13 сельскохозяйственных предприятий различных организационно - правовых форм и форм собственности, из которых 12 предприятий прибыльных, 1 убыточное (92,3 % от общего числа) получили прибыль по итогам года.</w:t>
      </w:r>
    </w:p>
    <w:p w:rsidR="008C2931" w:rsidRPr="00F0504C" w:rsidRDefault="008C2931" w:rsidP="00F0504C">
      <w:pPr>
        <w:autoSpaceDE w:val="0"/>
        <w:autoSpaceDN w:val="0"/>
        <w:adjustRightInd w:val="0"/>
        <w:spacing w:after="0" w:line="252" w:lineRule="auto"/>
        <w:ind w:right="19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В отчетном периоде деятельность организаций сельского хозяйства в районе осуществлялась в условиях продолжения реализации мер государственной поддержки за счет средств краевого и федерального бюджетов. В рамках выполнения мероприятий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 на 2014-</w:t>
      </w:r>
      <w:r w:rsidR="00F0504C">
        <w:rPr>
          <w:rFonts w:ascii="Times New Roman CYR" w:hAnsi="Times New Roman CYR" w:cs="Times New Roman CYR"/>
          <w:sz w:val="28"/>
          <w:szCs w:val="28"/>
        </w:rPr>
        <w:t>2030 годы</w:t>
      </w:r>
      <w:r>
        <w:rPr>
          <w:rFonts w:ascii="Times New Roman CYR" w:hAnsi="Times New Roman CYR" w:cs="Times New Roman CYR"/>
          <w:sz w:val="28"/>
          <w:szCs w:val="28"/>
        </w:rPr>
        <w:t xml:space="preserve"> субъектам агропромышленного комплекса в 2021 году была оказана государственная поддержка в объеме 118</w:t>
      </w:r>
      <w:r w:rsidR="00F70AD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978,43557 тыс. рублей, в том числе за счет средств краевого бюджета </w:t>
      </w:r>
      <w:r w:rsidR="00F70AD2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86</w:t>
      </w:r>
      <w:r w:rsidR="00F70AD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665,45640 тыс. рублей, за счет средств федерального бюджета </w:t>
      </w:r>
      <w:r w:rsidR="00F70AD2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32</w:t>
      </w:r>
      <w:r w:rsidR="00F70AD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312,97917 тыс. рублей.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2931" w:rsidRPr="00F0504C" w:rsidRDefault="008C2931" w:rsidP="00F0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F0504C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2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Общая протяженность автомобильных дорог общего пользования Дзержинского района по состоянию на 01.01.2022 составила 577,98 км, из которых 262 км – дороги местного значения.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2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Протяженность автомобильных дорог общего пользования местного значения, не отвечающих нормативным требованиям, составила в 2021 году 72,3% (189,4 км) в общей протяженности автомобильных дорог общего пользования местного значения. 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2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в местных бюджетах денежных средств в объемах, достаточных для содержания, развития и модернизации автомобильных дорог, является основной причиной неудовлетворительного состояния дорожной сети местного значения. Кроме того, большое влияние на качество дорог оказывают многократно возросшие нагрузки от воздействия тяжеловесного транспорта.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2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Учитывая недостаточность средств бюджетов муниципальных образований, Правительством Красноярского края ежегодно предоставляются субсидии бюджетам муниципальных образований на осуществление дорожной деятельности в отношении автомобильных дорог местного значения.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2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в 2021 году в рамках реализации государственной программы Красноярского края «Развитие транспортной системы» бюджету района предоставлено субсидий: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2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 капитальный ремонт и ремонт автомобильных дорог общего пользования местного значения 8 922, 3 тыс. рублей;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2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содержание автомобильных дорог общего пользования местного значения составило 3 210,0   тыс. рублей;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2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осуществление дорожной деятельности в целях решения задач, направленных на социально-экономическое развитие территории 12 496, 3 тыс. рублей.</w:t>
      </w:r>
    </w:p>
    <w:p w:rsidR="008C2931" w:rsidRPr="00F70AD2" w:rsidRDefault="008C2931" w:rsidP="00F70AD2">
      <w:pPr>
        <w:autoSpaceDE w:val="0"/>
        <w:autoSpaceDN w:val="0"/>
        <w:adjustRightInd w:val="0"/>
        <w:spacing w:after="0" w:line="240" w:lineRule="auto"/>
        <w:ind w:right="22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проведённых работ приведено в соответствие с требованиями нормативов порядка 7 261 метр.</w:t>
      </w:r>
    </w:p>
    <w:p w:rsidR="00F70AD2" w:rsidRDefault="00F70AD2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2931" w:rsidRPr="00F70AD2" w:rsidRDefault="008C2931" w:rsidP="00F70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F70AD2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округов (муниципального района) в общей численности населения муниципального, городского округов (муниципального района)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left="120" w:right="3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Все население, проживающее в населенных пунктах района, имеет регулярное автобусное сообщение с административным центром Дзержинского района.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8C2931" w:rsidRDefault="008C2931" w:rsidP="008C2931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30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оказания содействия органам местного самоуправления в реализации полномочий по решению вопросов местного значения ежегодно из фонда финансовой поддержки Красноярского края выделяются средства на выполнение муниципальных программ пассажирских перевозок автомобильным транспортом. В 2021 году на данные цели было выделено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18 399,9</w:t>
      </w:r>
      <w:r>
        <w:rPr>
          <w:rFonts w:ascii="Times New Roman CYR" w:hAnsi="Times New Roman CYR" w:cs="Times New Roman CYR"/>
          <w:color w:val="333333"/>
          <w:sz w:val="27"/>
          <w:szCs w:val="27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рублей.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Среднемесячная номинальная начисленная заработная плата работников:</w:t>
      </w:r>
    </w:p>
    <w:p w:rsidR="008C2931" w:rsidRPr="00F70AD2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</w:rPr>
      </w:pPr>
      <w:r w:rsidRPr="00F70AD2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крупных и средних предприятий и некоммерческих организаций;</w:t>
      </w:r>
    </w:p>
    <w:p w:rsidR="008C2931" w:rsidRDefault="00F70AD2" w:rsidP="008C2931">
      <w:pPr>
        <w:widowControl w:val="0"/>
        <w:autoSpaceDE w:val="0"/>
        <w:autoSpaceDN w:val="0"/>
        <w:adjustRightInd w:val="0"/>
        <w:spacing w:after="0" w:line="322" w:lineRule="exact"/>
        <w:ind w:right="2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="008C2931">
        <w:rPr>
          <w:rFonts w:ascii="Times New Roman CYR" w:hAnsi="Times New Roman CYR" w:cs="Times New Roman CYR"/>
          <w:sz w:val="28"/>
          <w:szCs w:val="28"/>
        </w:rPr>
        <w:t xml:space="preserve">   Изменению уровня жизни населения способствует рост заработной платы. </w:t>
      </w:r>
    </w:p>
    <w:p w:rsidR="008C2931" w:rsidRDefault="008C2931" w:rsidP="008C2931">
      <w:pPr>
        <w:widowControl w:val="0"/>
        <w:autoSpaceDE w:val="0"/>
        <w:autoSpaceDN w:val="0"/>
        <w:adjustRightInd w:val="0"/>
        <w:spacing w:after="0" w:line="322" w:lineRule="exact"/>
        <w:ind w:right="22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Среднемесячная номинальная заработная плата работников за 2021 год крупных и средних предприятий и некоммерческих организаций составила 38</w:t>
      </w:r>
      <w:r w:rsidR="007E771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048,04 рублей, темп роста к уровню прошлого года составил 3,2%.</w:t>
      </w:r>
    </w:p>
    <w:p w:rsidR="008C2931" w:rsidRDefault="008C2931" w:rsidP="008C2931">
      <w:pPr>
        <w:widowControl w:val="0"/>
        <w:autoSpaceDE w:val="0"/>
        <w:autoSpaceDN w:val="0"/>
        <w:adjustRightInd w:val="0"/>
        <w:spacing w:after="0" w:line="322" w:lineRule="exact"/>
        <w:ind w:right="22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2021 году были сохранены достигнутые целевые показатели, установленные указами Президента Российской Федерации в части размера заработной платы отдельных категорий работников бюджетной сферы и повышением МРОТ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 2021 году с 12</w:t>
      </w:r>
      <w:r w:rsidR="007E771F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130 рублей до 12</w:t>
      </w:r>
      <w:r w:rsidR="007E771F"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792 рубля.</w:t>
      </w:r>
    </w:p>
    <w:p w:rsidR="008C2931" w:rsidRDefault="008C2931" w:rsidP="008C2931">
      <w:pPr>
        <w:widowControl w:val="0"/>
        <w:autoSpaceDE w:val="0"/>
        <w:autoSpaceDN w:val="0"/>
        <w:adjustRightInd w:val="0"/>
        <w:spacing w:after="0" w:line="322" w:lineRule="exact"/>
        <w:ind w:right="2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Оценка среднемесячной номинальной заработной платы на 2022 год составила 40</w:t>
      </w:r>
      <w:r w:rsidR="007E771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673,35 рублей, темп роста к уровню 2021 года - 106,9 %. Прогноз среднемесячной номинальной заработной платы на 2023 год </w:t>
      </w:r>
      <w:r w:rsidR="007E771F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42</w:t>
      </w:r>
      <w:r w:rsidR="007E771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544,2 рубля, темп роста 104,6 %; на 2024 год – 44</w:t>
      </w:r>
      <w:r w:rsidR="007E771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586,45 рублей, темп роста 104,8 %.</w:t>
      </w:r>
    </w:p>
    <w:p w:rsidR="007E771F" w:rsidRDefault="008C2931" w:rsidP="007E771F">
      <w:pPr>
        <w:widowControl w:val="0"/>
        <w:autoSpaceDE w:val="0"/>
        <w:autoSpaceDN w:val="0"/>
        <w:adjustRightInd w:val="0"/>
        <w:spacing w:after="0" w:line="322" w:lineRule="exact"/>
        <w:ind w:right="220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Темпы роста заработной платы в прогнозном периоде будут сохранены в результате сохранения достигнутых соотношений между уровнем оплаты труда отдельных категорий работников бюджетной сферы и уровнем средней заработной платы, с увеличением МРОТ ежегодно с 1 января.</w:t>
      </w:r>
    </w:p>
    <w:p w:rsidR="008C2931" w:rsidRPr="007E771F" w:rsidRDefault="008C2931" w:rsidP="007E771F">
      <w:pPr>
        <w:widowControl w:val="0"/>
        <w:autoSpaceDE w:val="0"/>
        <w:autoSpaceDN w:val="0"/>
        <w:adjustRightInd w:val="0"/>
        <w:spacing w:after="0" w:line="322" w:lineRule="exact"/>
        <w:ind w:right="220" w:firstLine="66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7E771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lastRenderedPageBreak/>
        <w:t xml:space="preserve"> муниципальных дошкольных образовательных учреждений;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В 2021 году средняя заработная плата работников муниципальных дошкольных образовательных учреждений составила 32 619,</w:t>
      </w:r>
      <w:r w:rsidR="007E771F">
        <w:rPr>
          <w:rFonts w:ascii="Times New Roman CYR" w:hAnsi="Times New Roman CYR" w:cs="Times New Roman CYR"/>
          <w:sz w:val="28"/>
          <w:szCs w:val="28"/>
          <w:u w:color="FF0000"/>
        </w:rPr>
        <w:t>57 рублей</w:t>
      </w:r>
      <w:r w:rsidR="007E771F">
        <w:rPr>
          <w:rFonts w:ascii="Times New Roman CYR" w:hAnsi="Times New Roman CYR" w:cs="Times New Roman CYR"/>
          <w:sz w:val="24"/>
          <w:szCs w:val="24"/>
          <w:u w:color="FF0000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2020 год – 30 663,</w:t>
      </w:r>
      <w:r w:rsidR="007E771F">
        <w:rPr>
          <w:rFonts w:ascii="Times New Roman CYR" w:hAnsi="Times New Roman CYR" w:cs="Times New Roman CYR"/>
          <w:sz w:val="28"/>
          <w:szCs w:val="28"/>
          <w:u w:color="FF0000"/>
        </w:rPr>
        <w:t>3 рубля, рост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на 6,4 %)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.</w:t>
      </w:r>
      <w:r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Отношение среднемесячной номинальной начисленной заработной платы работников муниципальных дошкольных образовательных учреждений к среднемесячной номинальной начисленной заработной плате </w:t>
      </w:r>
      <w:r w:rsidR="007E771F">
        <w:rPr>
          <w:rFonts w:ascii="Times New Roman CYR" w:hAnsi="Times New Roman CYR" w:cs="Times New Roman CYR"/>
          <w:sz w:val="28"/>
          <w:szCs w:val="28"/>
          <w:u w:color="FF0000"/>
        </w:rPr>
        <w:t>работников крупных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и средних предприятий и некоммерческих организаций составляет 85,7%. 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00"/>
        <w:rPr>
          <w:rFonts w:ascii="Arial" w:hAnsi="Arial" w:cs="Arial"/>
          <w:sz w:val="16"/>
          <w:szCs w:val="16"/>
          <w:u w:color="FF0000"/>
        </w:rPr>
      </w:pPr>
      <w:r>
        <w:rPr>
          <w:rFonts w:ascii="Arial CYR" w:hAnsi="Arial CYR" w:cs="Arial CYR"/>
          <w:sz w:val="16"/>
          <w:szCs w:val="16"/>
          <w:u w:color="FF0000"/>
        </w:rPr>
        <w:t xml:space="preserve"> </w:t>
      </w:r>
    </w:p>
    <w:p w:rsidR="008C2931" w:rsidRPr="007E771F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7E771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муниципальных общеобразовательных учреждений;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В 2021 году уровень средней заработной платы работников муниципальных общеобразовательных учреждений </w:t>
      </w:r>
      <w:r w:rsidR="007E771F">
        <w:rPr>
          <w:rFonts w:ascii="Times New Roman CYR" w:hAnsi="Times New Roman CYR" w:cs="Times New Roman CYR"/>
          <w:sz w:val="28"/>
          <w:szCs w:val="28"/>
          <w:u w:color="FF0000"/>
        </w:rPr>
        <w:t>составил 40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177,</w:t>
      </w:r>
      <w:r w:rsidR="007E771F">
        <w:rPr>
          <w:rFonts w:ascii="Times New Roman CYR" w:hAnsi="Times New Roman CYR" w:cs="Times New Roman CYR"/>
          <w:sz w:val="28"/>
          <w:szCs w:val="28"/>
          <w:u w:color="FF0000"/>
        </w:rPr>
        <w:t>95 рублей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2020 год – 35 672,</w:t>
      </w:r>
      <w:r w:rsidR="007E771F">
        <w:rPr>
          <w:rFonts w:ascii="Times New Roman CYR" w:hAnsi="Times New Roman CYR" w:cs="Times New Roman CYR"/>
          <w:sz w:val="28"/>
          <w:szCs w:val="28"/>
          <w:u w:color="FF0000"/>
        </w:rPr>
        <w:t>4 рублей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, рост – 12,6 %)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.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Arial" w:hAnsi="Arial" w:cs="Arial"/>
          <w:sz w:val="16"/>
          <w:szCs w:val="16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Отношение среднемесячной номинальной начисленной заработной платы работников муниципальных общеобразовательных учреждений к среднемесячной номинальной начисленной заработной плате работников крупных и средних предприятий и некоммерческих организаций составляет 105,6 %, учителей – 132,7 %.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Pr="007E771F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7E771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муниципальных учреждений культуры и искусства;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Arial" w:hAnsi="Arial" w:cs="Arial"/>
          <w:sz w:val="16"/>
          <w:szCs w:val="16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В 2021 году среднемесячная номинальная заработная </w:t>
      </w:r>
      <w:r w:rsidR="007E771F">
        <w:rPr>
          <w:rFonts w:ascii="Times New Roman CYR" w:hAnsi="Times New Roman CYR" w:cs="Times New Roman CYR"/>
          <w:sz w:val="28"/>
          <w:szCs w:val="28"/>
          <w:u w:color="FF0000"/>
        </w:rPr>
        <w:t>плата в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муниципальных </w:t>
      </w:r>
      <w:r w:rsidR="007E771F">
        <w:rPr>
          <w:rFonts w:ascii="Times New Roman CYR" w:hAnsi="Times New Roman CYR" w:cs="Times New Roman CYR"/>
          <w:sz w:val="28"/>
          <w:szCs w:val="28"/>
          <w:u w:color="FF0000"/>
        </w:rPr>
        <w:t>учреждениях культуры составила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34 549,45 рублей, рост заработной платы по отношению к 2020 году составил 109 %.</w:t>
      </w:r>
    </w:p>
    <w:p w:rsidR="007E771F" w:rsidRDefault="007E771F" w:rsidP="007E7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</w:p>
    <w:p w:rsidR="008C2931" w:rsidRDefault="008C2931" w:rsidP="007E7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II. Дошкольное образование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Pr="007E771F" w:rsidRDefault="008C2931" w:rsidP="007E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 </w:t>
      </w:r>
      <w:r w:rsidRPr="007E771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 xml:space="preserve">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лет,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По состоянию на 1 января 2022 года в районе функционировало 5 муниципальных дошкольных образовательных учреждений (далее - ДОУ) и 4 филиала муниципальных дошкольных образовательных учреждений на 665 мест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. К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оличество детей, посещающих детские учреждения 597 детей. Доля детей в возрасте 1 - 6 лет, получающих дошкольную образовательную услугу в общей численности детей в возрасте 1 - 6 лет, составляет 59,8</w:t>
      </w:r>
      <w:r w:rsidR="00E4351F" w:rsidRPr="00E4351F">
        <w:rPr>
          <w:rFonts w:ascii="Times New Roman CYR" w:hAnsi="Times New Roman CYR" w:cs="Times New Roman CYR"/>
          <w:sz w:val="28"/>
          <w:szCs w:val="28"/>
          <w:u w:color="FF0000"/>
        </w:rPr>
        <w:t>2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%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.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180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Pr="007E771F" w:rsidRDefault="008C2931" w:rsidP="007E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 </w:t>
      </w:r>
      <w:r w:rsidRPr="007E771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 xml:space="preserve">Доля детей в возрасте 1-6 лет, стоящих на учете для определения в </w:t>
      </w:r>
      <w:r w:rsidR="007E771F" w:rsidRPr="007E771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муниципальные</w:t>
      </w:r>
      <w:r w:rsidRPr="007E771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 xml:space="preserve"> дошкольные образовательные учреждения, в общей численности детей в возрасте 1-6</w:t>
      </w:r>
    </w:p>
    <w:p w:rsidR="007E771F" w:rsidRDefault="008C2931" w:rsidP="007E771F">
      <w:pPr>
        <w:autoSpaceDE w:val="0"/>
        <w:autoSpaceDN w:val="0"/>
        <w:adjustRightInd w:val="0"/>
        <w:spacing w:after="0" w:line="240" w:lineRule="auto"/>
        <w:ind w:right="220" w:firstLine="6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 составляет 1,14%. В натуральном выражении – 12 детей, из них дети в возрасте от 3 до 7 лет – отсутствуют.</w:t>
      </w:r>
    </w:p>
    <w:p w:rsidR="008C2931" w:rsidRPr="007E771F" w:rsidRDefault="008C2931" w:rsidP="007E771F">
      <w:pPr>
        <w:autoSpaceDE w:val="0"/>
        <w:autoSpaceDN w:val="0"/>
        <w:adjustRightInd w:val="0"/>
        <w:spacing w:after="0" w:line="240" w:lineRule="auto"/>
        <w:ind w:right="220"/>
        <w:jc w:val="both"/>
        <w:rPr>
          <w:rFonts w:ascii="Times New Roman CYR" w:hAnsi="Times New Roman CYR" w:cs="Times New Roman CYR"/>
          <w:i/>
          <w:sz w:val="28"/>
          <w:szCs w:val="28"/>
          <w:u w:color="FF0000"/>
        </w:rPr>
      </w:pPr>
      <w:r w:rsidRPr="007E771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lastRenderedPageBreak/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20"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Одной из причин нехватки мест в дошкольные образовательные учреждения является неудовлетворительное состояние зданий, в которых размещаются эти учреждения.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20"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Здания МБДОУ «Дзержинский детский сад № 4 «Березка» требует капитального ремонта. Доля муниципальных дошкольных образовательных учреждений, здания которых требуют капитального ремонта, составляет 40%.                       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20"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связи с дефицитом бюджета материально-техническое обеспечение дошкольных образовательных учреждений требует серьезного обновления. В рамках внедрения ФГОС необходимо обогащать образовательную среду игрушками, дидактическими материалами, современной мебелью и компьютерами. 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C2931" w:rsidRDefault="008C2931" w:rsidP="007E7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III. Общее и дополнительное образование</w:t>
      </w:r>
    </w:p>
    <w:p w:rsidR="007E771F" w:rsidRDefault="007E771F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Pr="007E771F" w:rsidRDefault="008C2931" w:rsidP="007E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7E771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В системе общего образования Дзержинского района функционируют восемь общеобразовательных школ, которые имеют два филиала; два учреждения дополнительного образования (ДЮСШ, ЦВР).     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Число выпускников общеобразовательных школ района 76 человек.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Аттестат о среднем общем образовании получили 72 (95 %) выпускника общеобразовательных школ. Доля выпускников, не получивших аттестат об общем образовании в 2021 году - 5 %.     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00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Pr="007E771F" w:rsidRDefault="008C2931" w:rsidP="007E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 </w:t>
      </w:r>
      <w:r w:rsidRPr="007E771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360" w:firstLine="9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С целью создания необходимых (базовых) условий для реализации основных образовательных стандартов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оборудованием, обеспечение учебниками, повышение квалификации учителей и руководителей общеобразовательных учреждений района, также организован подвоз обучающихся в школы.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360" w:firstLine="9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настоящее время все школы района обеспечены необходимым комплектом оборудования для реализации федеральных государственных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образовательных стандартов начального и основного общего образования.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br/>
        <w:t xml:space="preserve">           Все учащиеся школ района обеспечены бесплатными учебниками по обязательным для изучения предметам в полном объёме.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360" w:firstLine="9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Школы района подключены к сети Интернет. У каждого общеобразовательного учреждения района имеется Интернет-сайт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отражающий результаты деятельности учреждения и содержащий информацию, обязательную для размещения на сайте в соответствии с действующим законодательством. В 87% общеобразовательных учреждений района имеются физкультурные залы (в 7 из 8 школ, являющихся юридическими лицами)</w:t>
      </w:r>
      <w:r w:rsidR="007E771F">
        <w:rPr>
          <w:rFonts w:ascii="Times New Roman CYR" w:hAnsi="Times New Roman CYR" w:cs="Times New Roman CYR"/>
          <w:sz w:val="28"/>
          <w:szCs w:val="28"/>
          <w:u w:color="FF0000"/>
        </w:rPr>
        <w:t>.</w:t>
      </w:r>
    </w:p>
    <w:p w:rsidR="008C2931" w:rsidRPr="00AC3F4B" w:rsidRDefault="008C2931" w:rsidP="00AC3F4B">
      <w:pPr>
        <w:autoSpaceDE w:val="0"/>
        <w:autoSpaceDN w:val="0"/>
        <w:adjustRightInd w:val="0"/>
        <w:spacing w:after="0" w:line="240" w:lineRule="auto"/>
        <w:ind w:right="360" w:firstLine="9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составила 75%.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AC3F4B" w:rsidRDefault="00AC3F4B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C2931" w:rsidRPr="007E771F" w:rsidRDefault="008C2931" w:rsidP="007E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7E771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8C2931" w:rsidRDefault="008C2931" w:rsidP="00AC3F4B">
      <w:pPr>
        <w:autoSpaceDE w:val="0"/>
        <w:autoSpaceDN w:val="0"/>
        <w:adjustRightInd w:val="0"/>
        <w:spacing w:after="0" w:line="240" w:lineRule="auto"/>
        <w:ind w:right="240" w:firstLine="720"/>
        <w:jc w:val="both"/>
        <w:rPr>
          <w:rFonts w:ascii="Arial CYR" w:hAnsi="Arial CYR" w:cs="Arial CYR"/>
          <w:sz w:val="16"/>
          <w:szCs w:val="16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По состоянию на 01.01.2022 года отсутствуют аварийные здания. Здание МБОУ Дзержинская СШ №1 требует капитального ремонта.   </w:t>
      </w:r>
    </w:p>
    <w:p w:rsidR="00AC3F4B" w:rsidRDefault="00AC3F4B" w:rsidP="00AC3F4B">
      <w:pPr>
        <w:autoSpaceDE w:val="0"/>
        <w:autoSpaceDN w:val="0"/>
        <w:adjustRightInd w:val="0"/>
        <w:spacing w:after="0" w:line="240" w:lineRule="auto"/>
        <w:ind w:right="240" w:firstLine="720"/>
        <w:jc w:val="both"/>
        <w:rPr>
          <w:rFonts w:ascii="Arial CYR" w:hAnsi="Arial CYR" w:cs="Arial CYR"/>
          <w:sz w:val="16"/>
          <w:szCs w:val="16"/>
          <w:u w:color="FF0000"/>
        </w:rPr>
      </w:pPr>
    </w:p>
    <w:p w:rsidR="00AC3F4B" w:rsidRPr="00AC3F4B" w:rsidRDefault="00AC3F4B" w:rsidP="00AC3F4B">
      <w:pPr>
        <w:autoSpaceDE w:val="0"/>
        <w:autoSpaceDN w:val="0"/>
        <w:adjustRightInd w:val="0"/>
        <w:spacing w:after="0" w:line="240" w:lineRule="auto"/>
        <w:ind w:right="240" w:firstLine="720"/>
        <w:jc w:val="both"/>
        <w:rPr>
          <w:rFonts w:ascii="Arial CYR" w:hAnsi="Arial CYR" w:cs="Arial CYR"/>
          <w:sz w:val="16"/>
          <w:szCs w:val="16"/>
          <w:u w:color="FF0000"/>
        </w:rPr>
      </w:pPr>
    </w:p>
    <w:p w:rsidR="008C2931" w:rsidRPr="007E771F" w:rsidRDefault="008C2931" w:rsidP="007E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7E771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 xml:space="preserve"> Доля детей первой и второй групп здоровья в общей численности обучающихся в муниципальных общеобразовательных учреждениях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Приоритетным направлением деятельности образовательных учреждений района является сохранение и укрепление здоровья подрастающего поколения.</w:t>
      </w:r>
    </w:p>
    <w:p w:rsidR="008C2931" w:rsidRPr="007E771F" w:rsidRDefault="008C2931" w:rsidP="007E771F">
      <w:pPr>
        <w:autoSpaceDE w:val="0"/>
        <w:autoSpaceDN w:val="0"/>
        <w:adjustRightInd w:val="0"/>
        <w:spacing w:after="0" w:line="240" w:lineRule="auto"/>
        <w:ind w:right="260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Доля детей первой и второй групп здоровья в общей численности, </w:t>
      </w:r>
      <w:r w:rsidR="007E771F">
        <w:rPr>
          <w:rFonts w:ascii="Times New Roman CYR" w:hAnsi="Times New Roman CYR" w:cs="Times New Roman CYR"/>
          <w:sz w:val="28"/>
          <w:szCs w:val="28"/>
          <w:u w:color="FF0000"/>
        </w:rPr>
        <w:t>обучающихся в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муниципальных общеобразовательных учреждениях, составила 72,2 %.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C2931" w:rsidRPr="007E771F" w:rsidRDefault="008C2931" w:rsidP="007E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7E771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40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Доля обучающихся в муниципальных общеобразовательных учреждениях, занимающихся во вторую смену, в общей численности, обучающихся в муниципальных общеобразовательны</w:t>
      </w:r>
      <w:r w:rsidR="007E771F">
        <w:rPr>
          <w:rFonts w:ascii="Times New Roman CYR" w:hAnsi="Times New Roman CYR" w:cs="Times New Roman CYR"/>
          <w:sz w:val="28"/>
          <w:szCs w:val="28"/>
          <w:u w:color="FF0000"/>
        </w:rPr>
        <w:t>х учреждениях, составила 7,9 %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(139 обучающихся из общего количества 1749 чел.)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40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Обучение во вторую смену осуществляют два общеобразовательных учреждения из 8 оказывающих образовательную услугу, за счет увеличения количества классов начальной школы.</w:t>
      </w:r>
    </w:p>
    <w:p w:rsidR="008C2931" w:rsidRPr="00AC3F4B" w:rsidRDefault="008C2931" w:rsidP="00AC3F4B">
      <w:pPr>
        <w:autoSpaceDE w:val="0"/>
        <w:autoSpaceDN w:val="0"/>
        <w:adjustRightInd w:val="0"/>
        <w:spacing w:after="0" w:line="240" w:lineRule="auto"/>
        <w:ind w:right="240"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Обучение в третью смену в общеобразовательных учреждениях района не осуществляется.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AC3F4B" w:rsidRDefault="00AC3F4B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C2931" w:rsidRPr="007E771F" w:rsidRDefault="008C2931" w:rsidP="007E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7E771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lastRenderedPageBreak/>
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color="FF0000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По итогам 2021 года расходы бюджета муниципального образования на общее образование в расчете на одного обучающегося в муниципальных общеобразовательных учреждениях составили 54,01 тыс. рублей.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Pr="007E771F" w:rsidRDefault="008C2931" w:rsidP="007E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7E771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300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Система дополнительного образования в районе представлена тремя учреждениями дополнительного образования детей: МБОУ ДОД «Центр внешкольной работы», МБОУ ДОД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Детско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–юношеская спортивная школа», МБОУ ДОД «Дзержинская школа искусств», находящихся в ведении органа управления культуры, а также учреждениями МБОУ Дзержинская СШ № 2, и МБДОУ д/с № 3 «Тополек», и кружками и секциями на базе образовательных учреждений.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В учреждениях дополнительного образования в объединениях технического творчества, спортивного, культурологического, социально-педагогического и художественно-эстетического творчества занимаются 1558 человек. Существующая в районе система дополнительного образов</w:t>
      </w:r>
      <w:r w:rsidR="00E27358">
        <w:rPr>
          <w:rFonts w:ascii="Times New Roman CYR" w:hAnsi="Times New Roman CYR" w:cs="Times New Roman CYR"/>
          <w:sz w:val="28"/>
          <w:szCs w:val="28"/>
          <w:u w:color="FF0000"/>
        </w:rPr>
        <w:t>ания обеспечивает занятость 46,5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% школьников. По сравнению с 2020 годом произошло незначительное повышение значения данного показателя (</w:t>
      </w:r>
      <w:r w:rsidR="00E27358">
        <w:rPr>
          <w:rFonts w:ascii="Times New Roman CYR" w:hAnsi="Times New Roman CYR" w:cs="Times New Roman CYR"/>
          <w:sz w:val="28"/>
          <w:szCs w:val="28"/>
          <w:u w:color="FF0000"/>
        </w:rPr>
        <w:t xml:space="preserve">в 2020 году -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44,25</w:t>
      </w:r>
      <w:r w:rsidR="00E27358">
        <w:rPr>
          <w:rFonts w:ascii="Times New Roman CYR" w:hAnsi="Times New Roman CYR" w:cs="Times New Roman CYR"/>
          <w:sz w:val="28"/>
          <w:szCs w:val="28"/>
          <w:u w:color="FF0000"/>
        </w:rPr>
        <w:t>%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).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C2931" w:rsidRDefault="008C2931" w:rsidP="007E7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IV. Культура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Pr="007E771F" w:rsidRDefault="008C2931" w:rsidP="007E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7E771F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Уровень фактической обеспеченности учреждениями культуры от нормативной потребности: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2021 году сеть муниципальных учреждений культуры состояла из 46 учреждений, в том числе 23 учреждения культурно-досугового типа, 21 библиотека, 1 музей, 1 детская школа искусств.  Число учреждений уменьшилось в связи с пожаром в конце 2021 года в клубе д.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Семёновка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За счёт средств государственной программы «Развитие культуры и туризма» господдержку получили три лучших муниципальных учреждения культуры, выделено по 100 000 рублей каждому. Четыре лучших работника отрасли получили господдержку в размере 50 000 рублей.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   Освоили с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убсидию на обеспечение развития и укрепления материально-технической базы муниципальных домов культуры в населённых пунктах с числом жителей до 50 тысяч человек (приобрели музыкальное оборудование, кресла). </w:t>
      </w:r>
    </w:p>
    <w:p w:rsidR="008C2931" w:rsidRDefault="008C2931" w:rsidP="008C2931">
      <w:pPr>
        <w:widowControl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На поддержку кинотеатра от Фонда кино выделено 28 986,00 рублей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(приобретен ноутбук для кинопоказа).</w:t>
      </w:r>
    </w:p>
    <w:p w:rsidR="008C2931" w:rsidRDefault="008C2931" w:rsidP="008C2931">
      <w:pPr>
        <w:widowControl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Межпоселенческая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библиотека совместно с общественной организацией </w:t>
      </w:r>
      <w:r w:rsidR="00D31C3E">
        <w:rPr>
          <w:rFonts w:ascii="Times New Roman CYR" w:hAnsi="Times New Roman CYR" w:cs="Times New Roman CYR"/>
          <w:sz w:val="28"/>
          <w:szCs w:val="28"/>
          <w:u w:color="FF0000"/>
        </w:rPr>
        <w:t>ветеранов, победили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в конкурсе социальных проектов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грантовой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программы Красноярского края «Партнерство» с проектом «Односельчане». Сумма гранта составила 172 920,00 рублей. Суть проекта – молодёжь встречается с односельчанами и по воспоминаниям взрослого населения создают фильм о наших выдающихся земляках.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ab/>
        <w:t xml:space="preserve">В </w:t>
      </w: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рамках реализации мероприятия федерального проекта «Информационная инфраструктура» национальной программы «Цифровая </w:t>
      </w:r>
      <w:r w:rsidR="00D31C3E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экономика Российской</w:t>
      </w: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Федерации» по обеспечению подключения к сети Интернет объектов </w:t>
      </w:r>
      <w:r w:rsidR="00D31C3E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культуры, </w:t>
      </w:r>
      <w:r w:rsidR="00D31C3E" w:rsidRPr="00D31C3E">
        <w:rPr>
          <w:rFonts w:ascii="Times New Roman CYR" w:hAnsi="Times New Roman CYR" w:cs="Times New Roman CYR"/>
          <w:bCs/>
          <w:sz w:val="28"/>
          <w:szCs w:val="28"/>
          <w:highlight w:val="white"/>
          <w:u w:color="FF0000"/>
        </w:rPr>
        <w:t>было</w:t>
      </w: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подключено 11 библиотек района. </w:t>
      </w:r>
    </w:p>
    <w:p w:rsidR="008C2931" w:rsidRPr="00D31C3E" w:rsidRDefault="00D31C3E" w:rsidP="00D31C3E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    </w:t>
      </w:r>
    </w:p>
    <w:p w:rsidR="008C2931" w:rsidRPr="00D31C3E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D31C3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клубами и учреждениями клубного типа;</w:t>
      </w:r>
    </w:p>
    <w:p w:rsidR="008C2931" w:rsidRDefault="008C2931" w:rsidP="00D31C3E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Уровень фактической обеспеченности клубами и учреждениями клубного типа в 2021 году составляет 100%.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C2931" w:rsidRPr="00D31C3E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D31C3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библиотеками;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Обеспеченность библиотеками соответствует нормативу - 100%.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C2931" w:rsidRPr="00D31C3E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D31C3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 xml:space="preserve">парками культуры и </w:t>
      </w:r>
      <w:r w:rsidR="00D31C3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отдыха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 Парков культуры и отдыха на территории района нет.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Pr="00D31C3E" w:rsidRDefault="008C2931" w:rsidP="00D31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 </w:t>
      </w:r>
      <w:r w:rsidRPr="00D31C3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6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Материально-техническая база муниципальных учреждений культуры и образовательных организаций в области культуры характеризуется высокой степенью износа. По состоянию на 01.01.2022 капитального ремонта требуют 16 зданий. Учреждения культуры, требующие капитального ремонта: </w:t>
      </w:r>
    </w:p>
    <w:p w:rsidR="008C2931" w:rsidRDefault="008C2931" w:rsidP="008C29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Дзержинский РДК, </w:t>
      </w:r>
    </w:p>
    <w:p w:rsidR="008C2931" w:rsidRDefault="008C2931" w:rsidP="008C29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Дзержинский музей, </w:t>
      </w:r>
    </w:p>
    <w:p w:rsidR="008C2931" w:rsidRDefault="008C2931" w:rsidP="008C29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Александро-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Ершинский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СДК,</w:t>
      </w:r>
    </w:p>
    <w:p w:rsidR="008C2931" w:rsidRDefault="008C2931" w:rsidP="008C29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Чурюковский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СК</w:t>
      </w:r>
    </w:p>
    <w:p w:rsidR="008C2931" w:rsidRDefault="008C2931" w:rsidP="008C29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Николаевский СК</w:t>
      </w:r>
    </w:p>
    <w:p w:rsidR="008C2931" w:rsidRDefault="008C2931" w:rsidP="008C29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Шеломковский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СДК</w:t>
      </w:r>
    </w:p>
    <w:p w:rsidR="008C2931" w:rsidRDefault="008C2931" w:rsidP="008C29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Батовский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СК</w:t>
      </w:r>
    </w:p>
    <w:p w:rsidR="008C2931" w:rsidRDefault="008C2931" w:rsidP="008C29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Канарайский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СК</w:t>
      </w:r>
    </w:p>
    <w:p w:rsidR="008C2931" w:rsidRDefault="008C2931" w:rsidP="008C29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Макаровский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СК</w:t>
      </w:r>
    </w:p>
    <w:p w:rsidR="008C2931" w:rsidRDefault="008C2931" w:rsidP="008C29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Денисовский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СДК</w:t>
      </w:r>
    </w:p>
    <w:p w:rsidR="008C2931" w:rsidRDefault="008C2931" w:rsidP="008C29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Кондратьевский СК</w:t>
      </w:r>
    </w:p>
    <w:p w:rsidR="008C2931" w:rsidRDefault="008C2931" w:rsidP="008C29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Таловский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СК</w:t>
      </w:r>
    </w:p>
    <w:p w:rsidR="008C2931" w:rsidRDefault="008C2931" w:rsidP="008C29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Петровский СК</w:t>
      </w:r>
    </w:p>
    <w:p w:rsidR="008C2931" w:rsidRDefault="008C2931" w:rsidP="008C29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Улюкольский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СДК</w:t>
      </w:r>
    </w:p>
    <w:p w:rsidR="008C2931" w:rsidRDefault="008C2931" w:rsidP="008C29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Михайловский СК</w:t>
      </w:r>
    </w:p>
    <w:p w:rsidR="008C2931" w:rsidRDefault="008C2931" w:rsidP="008C29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right="260" w:hanging="360"/>
        <w:rPr>
          <w:rFonts w:ascii="Times New Roman CYR" w:hAnsi="Times New Roman CYR" w:cs="Times New Roman CYR"/>
          <w:sz w:val="28"/>
          <w:szCs w:val="28"/>
          <w:u w:color="FF0000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Нижнетанайский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СДК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6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Доля муниципальных учреждений культуры, здания которых находятся в аварийном состоянии или требуют капитального ремонта, составляет 34,7</w:t>
      </w:r>
      <w:r w:rsidR="00945121">
        <w:rPr>
          <w:rFonts w:ascii="Times New Roman CYR" w:hAnsi="Times New Roman CYR" w:cs="Times New Roman CYR"/>
          <w:sz w:val="28"/>
          <w:szCs w:val="28"/>
          <w:u w:color="FF0000"/>
        </w:rPr>
        <w:t>8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u w:color="FF0000"/>
        </w:rPr>
        <w:t>%.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60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C2931" w:rsidRPr="00D31C3E" w:rsidRDefault="008C2931" w:rsidP="00D31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D31C3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8C2931" w:rsidRDefault="008C2931" w:rsidP="008C2931">
      <w:pPr>
        <w:autoSpaceDE w:val="0"/>
        <w:autoSpaceDN w:val="0"/>
        <w:adjustRightInd w:val="0"/>
        <w:spacing w:after="0" w:line="252" w:lineRule="auto"/>
        <w:ind w:right="26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В собственности муниципального образования Дзержинский район находится 7 объектов культурного наследия:</w:t>
      </w:r>
    </w:p>
    <w:p w:rsidR="008C2931" w:rsidRDefault="008C2931" w:rsidP="008C2931">
      <w:pPr>
        <w:autoSpaceDE w:val="0"/>
        <w:autoSpaceDN w:val="0"/>
        <w:adjustRightInd w:val="0"/>
        <w:spacing w:after="0" w:line="252" w:lineRule="auto"/>
        <w:ind w:right="26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1.Братская могила 12 партизан, погибших в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Улюкольском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бою в декабре 1919 г. деревня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Улюколь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;</w:t>
      </w:r>
    </w:p>
    <w:p w:rsidR="008C2931" w:rsidRDefault="008C2931" w:rsidP="008C2931">
      <w:pPr>
        <w:autoSpaceDE w:val="0"/>
        <w:autoSpaceDN w:val="0"/>
        <w:adjustRightInd w:val="0"/>
        <w:spacing w:after="0" w:line="252" w:lineRule="auto"/>
        <w:ind w:right="26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2.Братская могила 2 жителей села, расстрелянных колчаковцами за связь с партизанами.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Дер.Чурюково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;</w:t>
      </w:r>
    </w:p>
    <w:p w:rsidR="008C2931" w:rsidRDefault="008C2931" w:rsidP="008C2931">
      <w:pPr>
        <w:autoSpaceDE w:val="0"/>
        <w:autoSpaceDN w:val="0"/>
        <w:adjustRightInd w:val="0"/>
        <w:spacing w:after="0" w:line="252" w:lineRule="auto"/>
        <w:ind w:right="26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3. Братская могила 3 партизан, расстрелянных колчаковцами в 1919 г. село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Курай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;</w:t>
      </w:r>
    </w:p>
    <w:p w:rsidR="008C2931" w:rsidRDefault="008C2931" w:rsidP="008C2931">
      <w:pPr>
        <w:autoSpaceDE w:val="0"/>
        <w:autoSpaceDN w:val="0"/>
        <w:adjustRightInd w:val="0"/>
        <w:spacing w:after="0" w:line="252" w:lineRule="auto"/>
        <w:ind w:right="26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4. Братская могила девяти жителей села Дзержинского, расстрелянных карательным отрядом за связь с партизанами в феврале 1919 года. Село Дзержинское;</w:t>
      </w:r>
    </w:p>
    <w:p w:rsidR="008C2931" w:rsidRDefault="008C2931" w:rsidP="008C2931">
      <w:pPr>
        <w:autoSpaceDE w:val="0"/>
        <w:autoSpaceDN w:val="0"/>
        <w:adjustRightInd w:val="0"/>
        <w:spacing w:after="0" w:line="252" w:lineRule="auto"/>
        <w:ind w:right="26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5. Братская могила одиннадцати партизан из села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Денисово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, расстрелянных колчаковцами в 1919; село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Денисово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;</w:t>
      </w:r>
    </w:p>
    <w:p w:rsidR="008C2931" w:rsidRDefault="008C2931" w:rsidP="008C2931">
      <w:pPr>
        <w:autoSpaceDE w:val="0"/>
        <w:autoSpaceDN w:val="0"/>
        <w:adjustRightInd w:val="0"/>
        <w:spacing w:after="0" w:line="252" w:lineRule="auto"/>
        <w:ind w:right="26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6. Братская могила партизан и жителей села, погибших в борьбе за Советскую власть в 1919 году. деревня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Канарай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;</w:t>
      </w:r>
    </w:p>
    <w:p w:rsidR="008C2931" w:rsidRDefault="008C2931" w:rsidP="008C2931">
      <w:pPr>
        <w:autoSpaceDE w:val="0"/>
        <w:autoSpaceDN w:val="0"/>
        <w:adjustRightInd w:val="0"/>
        <w:spacing w:after="0" w:line="252" w:lineRule="auto"/>
        <w:ind w:right="260"/>
        <w:jc w:val="both"/>
        <w:rPr>
          <w:rFonts w:ascii="Calibri" w:hAnsi="Calibri" w:cs="Calibri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7. Могила двух партизан, погибших в бою под д.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Улюколь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с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колчаковским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отрядом 19 декабря 1919 года. Село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Шеломки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6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нет.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C2931" w:rsidRDefault="008C2931" w:rsidP="00D31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V. Физическая культура и спорт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Pr="00D31C3E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D31C3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 xml:space="preserve"> Доля населения, систематически занимающегося физической культурой и спортом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40"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По состоянию на 01.01.2022 количество спортивных сооружений в районе составило 40 единиц, в том числе 25 плоскостных спортивных сооружений, 10 спортивных залов, 1 лыжная база, другие спортивные сооружения 4, МБУ ДО «ДЮСШ», ФСК «Мечта», ФСК «Бригантина».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40"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Основой для вовлечения максимального количества жителей района в занятия физической культурой и спортом, помимо занятий, проводимых в 8 общеобразовательных учреждениях и 4 дошкольных учреждениях, является также работа МБУДО «Детско-юношеская спортивная школа», ФСК «Мечта»,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>ФСК «Бригантина», проведение спортивно-массовых мероприятий в которых принимают участие жители Дзержинского района.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40"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2021 году на территории района организовано и проведено 28 муниципальных физкультурных и спортивных мероприятий с общим количеством участников около 300 человек.</w:t>
      </w:r>
    </w:p>
    <w:p w:rsidR="008C2931" w:rsidRDefault="008C2931" w:rsidP="008C2931">
      <w:pPr>
        <w:widowControl w:val="0"/>
        <w:suppressAutoHyphens/>
        <w:autoSpaceDE w:val="0"/>
        <w:autoSpaceDN w:val="0"/>
        <w:adjustRightInd w:val="0"/>
        <w:spacing w:after="0" w:line="252" w:lineRule="auto"/>
        <w:ind w:right="24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На территории района функционирует Центр тестирования «Всероссийского физкультурного спортивного комплекса». В 2021 году выполнили норматив ГТО – 36 человек.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40"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Доля населения, систематически занимающегося физической культурой и спортом, в общей численности населения района в 2021 году составило 48,34 % (4481 человек от численности населения в возрасте 3-79 лет – 11</w:t>
      </w:r>
      <w:r w:rsidR="00D31C3E"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965 чел., в 2020 году составило 37,45 %). Наблюдается положительная динамика.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40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Pr="00D31C3E" w:rsidRDefault="008C2931" w:rsidP="00D31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D31C3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 xml:space="preserve"> Доля обучающихся, систематически занимающихся физической культурой и спортом, в общей численности обучающихся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3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В целом по району доля обучающихся, систематически занимающихся физической культурой и спортом, в общей численности, обучающихся в 2021 году составила 100% (в 2020 году – 92,81%).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C2931" w:rsidRDefault="008C2931" w:rsidP="00D31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VI. Жилищное строительство и обеспечение граждан жильем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Pr="00D31C3E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D31C3E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 xml:space="preserve"> Общая площадь жилых помещений, приходящаяся в среднем на одного жителя</w:t>
      </w:r>
    </w:p>
    <w:tbl>
      <w:tblPr>
        <w:tblW w:w="0" w:type="auto"/>
        <w:tblInd w:w="-426" w:type="dxa"/>
        <w:tblLayout w:type="fixed"/>
        <w:tblLook w:val="0000" w:firstRow="0" w:lastRow="0" w:firstColumn="0" w:lastColumn="0" w:noHBand="0" w:noVBand="0"/>
      </w:tblPr>
      <w:tblGrid>
        <w:gridCol w:w="3120"/>
        <w:gridCol w:w="1559"/>
        <w:gridCol w:w="1559"/>
        <w:gridCol w:w="1276"/>
        <w:gridCol w:w="992"/>
        <w:gridCol w:w="1134"/>
        <w:gridCol w:w="992"/>
      </w:tblGrid>
      <w:tr w:rsidR="008C2931">
        <w:trPr>
          <w:trHeight w:val="31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ind w:right="940" w:firstLine="709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По данным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Красноярскстата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 в 2021 году жилищный фонд района увеличился на 0,47% по сравнению с 2020 годом и </w:t>
            </w:r>
            <w:r w:rsidR="00D31C3E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составил 352,001</w:t>
            </w: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 тыс. кв. метров. В 2022 году планируется ввести  1755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 жилья, в 2023</w:t>
            </w:r>
            <w:r w:rsidR="00D31C3E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году -1843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., в 20</w:t>
            </w:r>
            <w:r w:rsidR="00D31C3E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24  году- 1935 </w:t>
            </w:r>
            <w:proofErr w:type="spellStart"/>
            <w:r w:rsidR="00D31C3E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.</w:t>
            </w:r>
          </w:p>
        </w:tc>
      </w:tr>
      <w:tr w:rsidR="008C2931">
        <w:trPr>
          <w:trHeight w:val="6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700"/>
            </w:tblGrid>
            <w:tr w:rsidR="008C2931" w:rsidTr="00AC3F4B">
              <w:trPr>
                <w:trHeight w:val="276"/>
              </w:trPr>
              <w:tc>
                <w:tcPr>
                  <w:tcW w:w="9700" w:type="dxa"/>
                  <w:vAlign w:val="center"/>
                </w:tcPr>
                <w:p w:rsidR="008C2931" w:rsidRDefault="008C2931" w:rsidP="003F35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4"/>
                      <w:szCs w:val="24"/>
                      <w:u w:color="FF0000"/>
                    </w:rPr>
                  </w:pPr>
                </w:p>
              </w:tc>
            </w:tr>
          </w:tbl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</w:p>
        </w:tc>
      </w:tr>
      <w:tr w:rsidR="003F35F7" w:rsidTr="00141E5D">
        <w:trPr>
          <w:trHeight w:val="8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5F7" w:rsidRDefault="003F35F7" w:rsidP="003F3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</w:p>
        </w:tc>
      </w:tr>
      <w:tr w:rsidR="008C2931">
        <w:trPr>
          <w:gridAfter w:val="1"/>
          <w:wAfter w:w="992" w:type="dxa"/>
          <w:trHeight w:val="518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Значения показателя</w:t>
            </w:r>
          </w:p>
        </w:tc>
      </w:tr>
      <w:tr w:rsidR="008C2931">
        <w:trPr>
          <w:gridAfter w:val="1"/>
          <w:wAfter w:w="992" w:type="dxa"/>
          <w:trHeight w:val="30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2020 факт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2021 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2022 оценка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2023 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2024 прогноз</w:t>
            </w:r>
          </w:p>
        </w:tc>
      </w:tr>
      <w:tr w:rsidR="008C2931">
        <w:trPr>
          <w:gridAfter w:val="1"/>
          <w:wAfter w:w="992" w:type="dxa"/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 xml:space="preserve">1. Общая площадь жилых помещений,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br/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u w:color="FF0000"/>
              </w:rPr>
              <w:t xml:space="preserve"> (по данным статистического отчета 1-жилфонд строка 01 графа 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350 330,00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350940,0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352695,0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354538,0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356473,0</w:t>
            </w:r>
          </w:p>
        </w:tc>
      </w:tr>
      <w:tr w:rsidR="008C2931">
        <w:trPr>
          <w:gridAfter w:val="1"/>
          <w:wAfter w:w="992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 xml:space="preserve">2. Введено жилых помещений за отчетный период,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кв.м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2 767,00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1 671,00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1 755,00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1 843,00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1 935,00</w:t>
            </w:r>
          </w:p>
        </w:tc>
      </w:tr>
      <w:tr w:rsidR="008C2931">
        <w:trPr>
          <w:gridAfter w:val="1"/>
          <w:wAfter w:w="992" w:type="dxa"/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 xml:space="preserve">3. Выбыло жилых помещений за отчетный период,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кв.м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0,00</w:t>
            </w:r>
          </w:p>
        </w:tc>
      </w:tr>
      <w:tr w:rsidR="008C2931">
        <w:trPr>
          <w:gridAfter w:val="1"/>
          <w:wAfter w:w="992" w:type="dxa"/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4.</w:t>
            </w:r>
            <w:r>
              <w:rPr>
                <w:rFonts w:ascii="Times New Roman CYR" w:hAnsi="Times New Roman CYR" w:cs="Times New Roman CYR"/>
                <w:color w:val="C00000"/>
                <w:sz w:val="20"/>
                <w:szCs w:val="20"/>
                <w:u w:color="FF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 xml:space="preserve">Численность постоянного населения муниципального, городского округа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lastRenderedPageBreak/>
              <w:t xml:space="preserve">(муниципального района)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  <w:sz w:val="20"/>
                <w:szCs w:val="20"/>
                <w:u w:color="FF0000"/>
              </w:rPr>
              <w:t>на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  <w:sz w:val="20"/>
                <w:szCs w:val="20"/>
                <w:u w:color="FF0000"/>
              </w:rPr>
              <w:t>конец отчетного года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lastRenderedPageBreak/>
              <w:t>12 789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12 404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12 119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11 864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11 645</w:t>
            </w:r>
          </w:p>
        </w:tc>
      </w:tr>
      <w:tr w:rsidR="008C2931">
        <w:trPr>
          <w:gridAfter w:val="1"/>
          <w:wAfter w:w="992" w:type="dxa"/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5. Общая площадь жилых помещений, приходящаяся в среднем на одного жителя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27,39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28,29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29,10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29,88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30,61</w:t>
            </w:r>
          </w:p>
        </w:tc>
      </w:tr>
      <w:tr w:rsidR="008C2931">
        <w:trPr>
          <w:gridAfter w:val="1"/>
          <w:wAfter w:w="992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</w:tbl>
    <w:p w:rsidR="008C2931" w:rsidRPr="00AC3F4B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AC3F4B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 xml:space="preserve"> в том числе введенная в действие за один год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20"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За отчетный период введено 1671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  <w:u w:color="FF0000"/>
        </w:rPr>
        <w:t>кв.м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общей площади жилья, что составило 60,4 % к уровню 2020 года.   Застройка ведется индивидуальными застройщиками, носит заявительный характер.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400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Общая площадь жилых помещений, приходящаяся в средн</w:t>
      </w:r>
      <w:r w:rsidR="00AC3F4B">
        <w:rPr>
          <w:rFonts w:ascii="Times New Roman CYR" w:hAnsi="Times New Roman CYR" w:cs="Times New Roman CYR"/>
          <w:sz w:val="28"/>
          <w:szCs w:val="28"/>
          <w:u w:color="FF0000"/>
        </w:rPr>
        <w:t>ем на одного жителя за 2021 год, составила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28,30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400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В 2021 году введено 13 индивидуальных жилых домов, общей площадью 1671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400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Общая </w:t>
      </w:r>
      <w:r w:rsidR="00AC3F4B">
        <w:rPr>
          <w:rFonts w:ascii="Times New Roman CYR" w:hAnsi="Times New Roman CYR" w:cs="Times New Roman CYR"/>
          <w:sz w:val="28"/>
          <w:szCs w:val="28"/>
          <w:u w:color="FF0000"/>
        </w:rPr>
        <w:t>площадь жилых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помещений, приходящаяся в среднем на одного жителя, введенная в действие за 2021 год составила 0,13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. Показатель </w:t>
      </w:r>
      <w:r w:rsidR="00AC3F4B">
        <w:rPr>
          <w:rFonts w:ascii="Times New Roman CYR" w:hAnsi="Times New Roman CYR" w:cs="Times New Roman CYR"/>
          <w:sz w:val="28"/>
          <w:szCs w:val="28"/>
          <w:u w:color="FF0000"/>
        </w:rPr>
        <w:t>понизился к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уровню 2020 года.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1134"/>
        <w:gridCol w:w="1134"/>
        <w:gridCol w:w="1134"/>
        <w:gridCol w:w="1134"/>
      </w:tblGrid>
      <w:tr w:rsidR="008C2931" w:rsidTr="00AC3F4B">
        <w:trPr>
          <w:trHeight w:val="8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931" w:rsidRDefault="008C2931" w:rsidP="00AC3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</w:p>
        </w:tc>
      </w:tr>
      <w:tr w:rsidR="008C2931">
        <w:trPr>
          <w:trHeight w:val="51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Значения показателя</w:t>
            </w:r>
          </w:p>
        </w:tc>
      </w:tr>
      <w:tr w:rsidR="008C2931">
        <w:trPr>
          <w:trHeight w:val="60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2020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2021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2022 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2023 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2024 прогноз</w:t>
            </w:r>
          </w:p>
        </w:tc>
      </w:tr>
      <w:tr w:rsidR="008C293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 xml:space="preserve">1. Введено всего,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2 767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1 671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1 755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1 843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1 935</w:t>
            </w:r>
          </w:p>
        </w:tc>
      </w:tr>
      <w:tr w:rsidR="008C293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ind w:firstLine="200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 xml:space="preserve">1.1. индивидуальное жилищное строительство,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2 767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1 671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1 755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1 843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1 935</w:t>
            </w:r>
          </w:p>
        </w:tc>
      </w:tr>
      <w:tr w:rsidR="008C293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ind w:firstLine="200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 xml:space="preserve">1.2. многоквартирное строительство,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0</w:t>
            </w:r>
          </w:p>
        </w:tc>
      </w:tr>
      <w:tr w:rsidR="008C2931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2.</w:t>
            </w:r>
            <w:r>
              <w:rPr>
                <w:rFonts w:ascii="Times New Roman CYR" w:hAnsi="Times New Roman CYR" w:cs="Times New Roman CYR"/>
                <w:color w:val="C00000"/>
                <w:sz w:val="20"/>
                <w:szCs w:val="20"/>
                <w:u w:color="FF000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  <w:sz w:val="20"/>
                <w:szCs w:val="20"/>
                <w:u w:color="FF0000"/>
              </w:rPr>
              <w:t>Среднегодовая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12 849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12 596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12 262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11 992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11 755</w:t>
            </w:r>
          </w:p>
        </w:tc>
      </w:tr>
      <w:tr w:rsidR="008C2931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3. Общая площадь жилых помещений, введенная в действие за один год, приходящаяся в среднем на одного жителя (стр. 1/ стр.2)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0,16</w:t>
            </w:r>
          </w:p>
        </w:tc>
      </w:tr>
    </w:tbl>
    <w:p w:rsidR="008C2931" w:rsidRDefault="008C2931" w:rsidP="008C2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8C2931" w:rsidRPr="00141E5D" w:rsidRDefault="008C2931" w:rsidP="00141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 </w:t>
      </w:r>
      <w:r w:rsidRPr="00141E5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Площадь земельных участков, предоставленных для строительства, в расчете на 10 тыс. человек населения, 25.1.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61"/>
        <w:gridCol w:w="1134"/>
        <w:gridCol w:w="567"/>
        <w:gridCol w:w="708"/>
        <w:gridCol w:w="426"/>
        <w:gridCol w:w="850"/>
        <w:gridCol w:w="284"/>
        <w:gridCol w:w="850"/>
        <w:gridCol w:w="73"/>
        <w:gridCol w:w="919"/>
        <w:gridCol w:w="108"/>
        <w:gridCol w:w="1027"/>
      </w:tblGrid>
      <w:tr w:rsidR="008C2931">
        <w:trPr>
          <w:trHeight w:val="1598"/>
        </w:trPr>
        <w:tc>
          <w:tcPr>
            <w:tcW w:w="1020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ind w:right="760" w:firstLine="900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Площадь земельных участков, предоставленных для строительства, в расчете на 10 тыс. человек </w:t>
            </w:r>
            <w:r w:rsidR="00141E5D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населения в</w:t>
            </w: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 2020 году составляет 1,79 га, в 2021 году -  2,30 га. </w:t>
            </w: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ind w:right="760" w:firstLine="900"/>
              <w:jc w:val="both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Для строительства индивидуальных жилых </w:t>
            </w:r>
            <w:r w:rsidR="00141E5D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домов на</w:t>
            </w: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 территории с. Дзержинское </w:t>
            </w:r>
            <w:r w:rsidR="00141E5D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осваивались свободные</w:t>
            </w: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 от застройки </w:t>
            </w:r>
            <w:r w:rsidR="00141E5D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территории в</w:t>
            </w: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 установленных границах населенного пункта на южной и юго-западной окраинах существующей застройки с. Дзержинское. В 2020-2021 годах </w:t>
            </w: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lastRenderedPageBreak/>
              <w:t>осваивались новые участки в северной части с. Дзержинское, практически все земельные участки были предоставлены многодетным семьям.  Земельные участки предоставляются по заявлениям.</w:t>
            </w: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ind w:right="760" w:firstLine="90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Увеличение площади в 2021 году земельных участков произошло в связи с освоением новых земель в п. Северный с. Дзержинское, для предоставления многодетным семьям. Проведено </w:t>
            </w:r>
            <w:r w:rsidR="00141E5D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межевание 50</w:t>
            </w: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 земельных </w:t>
            </w:r>
            <w:r w:rsidR="00141E5D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участков. В</w:t>
            </w: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 2021 году в с. Дзержинское началось строительство детского сада (земельный участок 1,55 га) и </w:t>
            </w:r>
            <w:r w:rsidR="00141E5D"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строительство досугового</w:t>
            </w:r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 xml:space="preserve"> центра в д.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Ашпатск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  <w:t>. В  период 2022-2024 годов планируется строительство 16 квартирного жилого дома, строительство водозабора, а так же строительство объектов инженерной и транспортной инфраструктуры.</w:t>
            </w:r>
          </w:p>
        </w:tc>
      </w:tr>
      <w:tr w:rsidR="008C2931">
        <w:trPr>
          <w:trHeight w:val="300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  <w:u w:color="FF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8C2931">
        <w:trPr>
          <w:gridAfter w:val="2"/>
          <w:wAfter w:w="1135" w:type="dxa"/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P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Значения показателя</w:t>
            </w:r>
          </w:p>
        </w:tc>
      </w:tr>
      <w:tr w:rsidR="008C2931">
        <w:trPr>
          <w:gridAfter w:val="2"/>
          <w:wAfter w:w="1135" w:type="dxa"/>
          <w:trHeight w:val="6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2020 факт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2021 факт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2022 оценка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2023 прогноз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2024 прогноз</w:t>
            </w:r>
          </w:p>
        </w:tc>
      </w:tr>
      <w:tr w:rsidR="008C2931">
        <w:trPr>
          <w:gridAfter w:val="2"/>
          <w:wAfter w:w="1135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P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1. Площадь земельных участков, предоставленных для строительства, га, 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2,30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2,60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2,60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2,60</w:t>
            </w:r>
          </w:p>
        </w:tc>
      </w:tr>
      <w:tr w:rsidR="008C2931">
        <w:trPr>
          <w:gridAfter w:val="2"/>
          <w:wAfter w:w="1135" w:type="dxa"/>
          <w:trHeight w:val="3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Pr="008C2931" w:rsidRDefault="008C2931">
            <w:pPr>
              <w:autoSpaceDE w:val="0"/>
              <w:autoSpaceDN w:val="0"/>
              <w:adjustRightInd w:val="0"/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 xml:space="preserve">1.1. для жилищного строительства (в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т.ч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. для ИЖС),  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2,30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1,10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1,10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1,10</w:t>
            </w:r>
          </w:p>
        </w:tc>
      </w:tr>
      <w:tr w:rsidR="008C2931">
        <w:trPr>
          <w:gridAfter w:val="2"/>
          <w:wAfter w:w="1135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Pr="008C2931" w:rsidRDefault="008C2931">
            <w:pPr>
              <w:autoSpaceDE w:val="0"/>
              <w:autoSpaceDN w:val="0"/>
              <w:adjustRightInd w:val="0"/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1.2. для комплексного освоения в целях жилищного строительства, 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0,00</w:t>
            </w:r>
          </w:p>
        </w:tc>
      </w:tr>
      <w:tr w:rsidR="008C2931">
        <w:trPr>
          <w:gridAfter w:val="2"/>
          <w:wAfter w:w="1135" w:type="dxa"/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Pr="008C2931" w:rsidRDefault="008C2931">
            <w:pPr>
              <w:autoSpaceDE w:val="0"/>
              <w:autoSpaceDN w:val="0"/>
              <w:adjustRightInd w:val="0"/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1.3. для строительства объектов, не являющихся объектами жилищного строительства, 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1,50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1,50</w:t>
            </w:r>
          </w:p>
        </w:tc>
      </w:tr>
      <w:tr w:rsidR="008C2931">
        <w:trPr>
          <w:gridAfter w:val="2"/>
          <w:wAfter w:w="1135" w:type="dxa"/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P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</w:rPr>
            </w:pPr>
            <w:r w:rsidRPr="008C2931"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</w:rPr>
              <w:t>2.</w:t>
            </w:r>
            <w:r w:rsidRPr="008C2931">
              <w:rPr>
                <w:rFonts w:ascii="Times New Roman" w:hAnsi="Times New Roman" w:cs="Times New Roman"/>
                <w:color w:val="C00000"/>
                <w:sz w:val="24"/>
                <w:szCs w:val="24"/>
                <w:u w:color="FF000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C00000"/>
                <w:sz w:val="24"/>
                <w:szCs w:val="24"/>
                <w:u w:color="FF0000"/>
              </w:rPr>
              <w:t>Среднегодовая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12 849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12 596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12 262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11 992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color="FF0000"/>
                <w:lang w:val="en-US"/>
              </w:rPr>
              <w:t>11 755</w:t>
            </w:r>
          </w:p>
        </w:tc>
      </w:tr>
      <w:tr w:rsidR="008C2931">
        <w:trPr>
          <w:gridAfter w:val="2"/>
          <w:wAfter w:w="1135" w:type="dxa"/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P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>3. Площадь земельных участков, предоставленных для строительства, в расчете на 10 тыс. человек населения – всего (стр. 1/стр.2*10000)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1,79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2,30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2,12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2,17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2,21</w:t>
            </w:r>
          </w:p>
        </w:tc>
      </w:tr>
      <w:tr w:rsidR="008C2931">
        <w:trPr>
          <w:gridAfter w:val="2"/>
          <w:wAfter w:w="1135" w:type="dxa"/>
          <w:trHeight w:val="14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P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t xml:space="preserve">4. Площадь земельных участков, предоставленных для жилищного строительства, индивидуального строительства и комплексного освоения в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u w:color="FF0000"/>
              </w:rPr>
              <w:lastRenderedPageBreak/>
              <w:t>целях жилищного строительства, в расчете на 10 тыс. человек населения (стр.1.1+стр.1.2/стр.2*10000)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lastRenderedPageBreak/>
              <w:t>1,79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0,87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0,90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0,92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FF0000"/>
                <w:lang w:val="en-US"/>
              </w:rPr>
              <w:t>0,94</w:t>
            </w:r>
          </w:p>
        </w:tc>
      </w:tr>
    </w:tbl>
    <w:p w:rsidR="008C2931" w:rsidRDefault="008C2931" w:rsidP="008C2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color="FF0000"/>
          <w:lang w:val="en-US"/>
        </w:rPr>
      </w:pPr>
    </w:p>
    <w:p w:rsidR="008C2931" w:rsidRPr="00141E5D" w:rsidRDefault="008C2931" w:rsidP="00141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41E5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8C2931" w:rsidRPr="00141E5D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41E5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объектов жилищного строительства - в течение 3 лет</w:t>
      </w:r>
    </w:p>
    <w:p w:rsidR="008C2931" w:rsidRDefault="008C2931" w:rsidP="008C293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Случаев невыдачи разрешения на ввод в эксплуатацию объектов жилищного строительства - в течение 3 лет нет.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733"/>
        <w:gridCol w:w="1311"/>
        <w:gridCol w:w="2126"/>
        <w:gridCol w:w="1346"/>
        <w:gridCol w:w="1330"/>
        <w:gridCol w:w="1683"/>
      </w:tblGrid>
      <w:tr w:rsidR="008C2931">
        <w:trPr>
          <w:trHeight w:val="1240"/>
        </w:trPr>
        <w:tc>
          <w:tcPr>
            <w:tcW w:w="101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26.1. Площадь земельных участков, предоставленных для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жилищного строительства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 xml:space="preserve">в отношении которых с даты принятия решения о предоставлении земельного участка 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 xml:space="preserve">или подписания протокола о результатах торгов (конкурсов, аукционов) не было получено разрешение на ввод в эксплуатацию в течение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3 лет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.</w:t>
            </w:r>
          </w:p>
        </w:tc>
      </w:tr>
      <w:tr w:rsidR="008C2931">
        <w:trPr>
          <w:trHeight w:val="2162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 п/п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и строительный адрес объекта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Площадь земельного участка,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Дата принятия решения о предоставлении земельного участка или подписания протокола о результатах торгов (конкурсов, аукционов) 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>с указанием вида использования (собственность, аренда)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Дата выдачи разрешения на строитель-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ство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Срок действия разрешения на строитель-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ство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Общая площадь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 xml:space="preserve">жилищного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строительст-ва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на предоставленном земельном участке,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. (проектная)</w:t>
            </w:r>
          </w:p>
        </w:tc>
      </w:tr>
      <w:tr w:rsidR="008C2931">
        <w:trPr>
          <w:trHeight w:val="267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8C2931">
        <w:trPr>
          <w:trHeight w:val="226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ИТОГО</w:t>
            </w:r>
          </w:p>
        </w:tc>
      </w:tr>
    </w:tbl>
    <w:p w:rsidR="008C2931" w:rsidRPr="00141E5D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41E5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 xml:space="preserve"> иных объектов капитального строительства - в течение 5 лет</w:t>
      </w:r>
    </w:p>
    <w:p w:rsidR="008C2931" w:rsidRDefault="008C2931" w:rsidP="008C2931">
      <w:pPr>
        <w:autoSpaceDE w:val="0"/>
        <w:autoSpaceDN w:val="0"/>
        <w:adjustRightInd w:val="0"/>
        <w:spacing w:after="120" w:line="240" w:lineRule="auto"/>
        <w:ind w:right="240"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Случаев невыдачи разрешения на ввод в эксплуатацию иных объектов капитального строительства -  в течение 5 лет нет.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"/>
        <w:gridCol w:w="478"/>
        <w:gridCol w:w="1733"/>
        <w:gridCol w:w="1391"/>
        <w:gridCol w:w="3118"/>
        <w:gridCol w:w="1621"/>
        <w:gridCol w:w="1666"/>
        <w:gridCol w:w="11"/>
      </w:tblGrid>
      <w:tr w:rsidR="008C2931">
        <w:trPr>
          <w:gridBefore w:val="1"/>
          <w:gridAfter w:val="1"/>
          <w:wBefore w:w="165" w:type="dxa"/>
          <w:wAfter w:w="11" w:type="dxa"/>
        </w:trPr>
        <w:tc>
          <w:tcPr>
            <w:tcW w:w="100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ind w:right="420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26.2. Площадь земельных участков, предоставленных для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иных объектов капитального строительства, в отношении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5 лет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.</w:t>
            </w:r>
          </w:p>
        </w:tc>
      </w:tr>
      <w:tr w:rsidR="008C2931"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 п/п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и строительный адрес объекта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Площадь земельных участков,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Дата принятия решения о предоставлении земельного участка или подписания протокола о результатах торгов (конкурсов, аукционов) с указанием 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lastRenderedPageBreak/>
              <w:t>вида использования (собственность, аренда)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lastRenderedPageBreak/>
              <w:t>Дата выдачи разрешения на строительство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Срок действия разрешения на строительство</w:t>
            </w:r>
          </w:p>
        </w:tc>
      </w:tr>
      <w:tr w:rsidR="008C2931"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8C2931"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Х</w:t>
            </w:r>
          </w:p>
        </w:tc>
      </w:tr>
    </w:tbl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C2931" w:rsidRDefault="008C2931" w:rsidP="00141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VII. Жилищно-коммунальное хозяйство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40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Ключевыми задачами отрасли являются повышение эксплуатационной надёжности объектов коммунальной инфраструктуры и обеспечение доступности жилищно-коммунальных услуг для населения района, а также формирование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конкурентной среды в сфере жилищно-коммунального хозяйства.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В соответствии с Жилищным кодексом Российской Федерации собственники помещений в многоквартирном доме обязаны выбрать один из способов управления многоквартирным домом: непосредственное управление; управление товариществом собственников жилья, или жилищным кооперативом, или иным специализированным потребительским кооперативом; управление управляющей организацией.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Pr="00141E5D" w:rsidRDefault="008C2931" w:rsidP="00141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41E5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180"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Общее число многоквартирных домов, в которых собственники помещений выбрали и реализуют способ управления многоквартирными домами, в районе равен 14 ед., в том числе: непосредственное управление собственниками помещений в многоквартирном доме - 14 ед., что составляет 100% от числа многоквартирных домов.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Pr="00141E5D" w:rsidRDefault="008C2931" w:rsidP="00141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41E5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округов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округов (муниципального района)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На территории района находится 5 организаций жилищно-коммунального комплекса.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C2931" w:rsidRPr="00141E5D" w:rsidRDefault="008C2931" w:rsidP="00141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41E5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lastRenderedPageBreak/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3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Все многоквартирные дома на территории района расположены на земельных участках, в отношении которых осуществлен государственный кадастровый учет, что составляет 100%.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№29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960"/>
        <w:gridCol w:w="960"/>
        <w:gridCol w:w="960"/>
        <w:gridCol w:w="960"/>
        <w:gridCol w:w="960"/>
      </w:tblGrid>
      <w:tr w:rsidR="008C2931">
        <w:trPr>
          <w:trHeight w:val="30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8C2931">
        <w:trPr>
          <w:trHeight w:val="60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2020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2021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2022 оценка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прогноз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прогноз</w:t>
            </w:r>
          </w:p>
        </w:tc>
      </w:tr>
      <w:tr w:rsidR="008C2931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1. Число многоквартирных домов, расположенных на земельных участках, в отношении которых осуществлен государственный кадастровый учет,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15</w:t>
            </w:r>
          </w:p>
        </w:tc>
      </w:tr>
      <w:tr w:rsidR="008C2931">
        <w:trPr>
          <w:trHeight w:val="12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2. Общее число многоквартирных домов по состоянию на конец отчетного периода, единиц 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br/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  <w:t>(по данным статистического отчета 1-жилфонд строка 01 графа 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15</w:t>
            </w:r>
          </w:p>
        </w:tc>
      </w:tr>
      <w:tr w:rsidR="008C2931">
        <w:trPr>
          <w:trHeight w:val="127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3. Доля многоквартирных домов, расположенных на земельных участках, в отношении которых осуществлен государственный кадастровый учет, % (стр. 1/стр.2*100)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100,00</w:t>
            </w:r>
          </w:p>
        </w:tc>
      </w:tr>
    </w:tbl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Pr="00141E5D" w:rsidRDefault="008C2931" w:rsidP="00141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41E5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 xml:space="preserve">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40" w:firstLine="9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уменьшилась по сравнению с 2020 годом по разным видам причин (покупки жилья, миграции населения из небольших населенных пунктов в более крупные, улучшения жилищных условий за счет участия в других программах, смерти, и т.д.).</w:t>
      </w:r>
    </w:p>
    <w:p w:rsidR="00141E5D" w:rsidRDefault="00141E5D" w:rsidP="008C2931">
      <w:pPr>
        <w:autoSpaceDE w:val="0"/>
        <w:autoSpaceDN w:val="0"/>
        <w:adjustRightInd w:val="0"/>
        <w:spacing w:after="0" w:line="240" w:lineRule="auto"/>
        <w:ind w:right="240" w:firstLine="9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20" w:firstLine="708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№30</w:t>
      </w:r>
    </w:p>
    <w:tbl>
      <w:tblPr>
        <w:tblW w:w="0" w:type="auto"/>
        <w:tblInd w:w="-113" w:type="dxa"/>
        <w:tblLayout w:type="fixed"/>
        <w:tblLook w:val="0000" w:firstRow="0" w:lastRow="0" w:firstColumn="0" w:lastColumn="0" w:noHBand="0" w:noVBand="0"/>
      </w:tblPr>
      <w:tblGrid>
        <w:gridCol w:w="4594"/>
        <w:gridCol w:w="1005"/>
        <w:gridCol w:w="1005"/>
        <w:gridCol w:w="924"/>
        <w:gridCol w:w="78"/>
        <w:gridCol w:w="1006"/>
        <w:gridCol w:w="959"/>
      </w:tblGrid>
      <w:tr w:rsidR="008C2931">
        <w:trPr>
          <w:trHeight w:val="300"/>
        </w:trPr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8C2931">
        <w:trPr>
          <w:trHeight w:val="600"/>
        </w:trPr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2020 факт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2021 факт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2022 оценка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прогноз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прогноз</w:t>
            </w:r>
          </w:p>
        </w:tc>
      </w:tr>
      <w:tr w:rsidR="008C2931">
        <w:trPr>
          <w:trHeight w:val="1500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1. Численность населения (семей), получившего жилые помещения и улучшившего жилищные условия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по договору социального найма в отчетном году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, чел.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br/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u w:color="FF0000"/>
              </w:rPr>
              <w:t>(по данным статистического отчета 4-жилфонд строка 04 графа 3)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</w:t>
            </w:r>
          </w:p>
        </w:tc>
      </w:tr>
      <w:tr w:rsidR="008C2931">
        <w:trPr>
          <w:trHeight w:val="1185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lastRenderedPageBreak/>
              <w:t xml:space="preserve">2. Численность населения (семей), состоящего на учете в качестве нуждающегося в жилых помещениях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по договорам социального найма на конец прошлого года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, чел. *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44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35</w:t>
            </w:r>
          </w:p>
        </w:tc>
      </w:tr>
      <w:tr w:rsidR="008C2931">
        <w:trPr>
          <w:trHeight w:val="1523"/>
        </w:trPr>
        <w:tc>
          <w:tcPr>
            <w:tcW w:w="4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3.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5,88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4,55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5,13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5,41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u w:color="FF0000"/>
              </w:rPr>
              <w:t>5,71</w:t>
            </w:r>
          </w:p>
        </w:tc>
      </w:tr>
    </w:tbl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141E5D" w:rsidRDefault="00141E5D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C2931" w:rsidRDefault="008C2931" w:rsidP="00141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VIII. Организация муниципального управления</w:t>
      </w:r>
    </w:p>
    <w:p w:rsidR="00141E5D" w:rsidRDefault="00141E5D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41E5D" w:rsidRDefault="00141E5D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Pr="00141E5D" w:rsidRDefault="008C2931" w:rsidP="00141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41E5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180" w:firstLine="720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В 2021 году наблюдается увеличение доли налоговых и неналоговых доходов местного бюджета в общем объеме собственных доходов бюджета муниципального образования с 16,44 % до 16,96 %, небольшое увеличение за счет роста поступлений налога на доходы физических лиц.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180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В целях увеличения доходов местного бюджета проводится работа по идентификации земельных участков, проведена </w:t>
      </w:r>
      <w:r w:rsidR="00141E5D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инвентаризация муниципального</w:t>
      </w: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имущества. Проводится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претензиционная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работа </w:t>
      </w:r>
      <w:r w:rsidR="00141E5D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по взысканию</w:t>
      </w: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 xml:space="preserve"> задолженности за использование муниципального имущества. Согласно утвержденного графика межрайонной инспекцией ФНС России № 8 по Красноярскому краю проводятся заседания межведомственной комиссии по сокращению недоимки по налогам и сборам и легализации заработной платы.</w:t>
      </w:r>
    </w:p>
    <w:p w:rsidR="008C2931" w:rsidRPr="00141E5D" w:rsidRDefault="008C2931" w:rsidP="00141E5D">
      <w:pPr>
        <w:autoSpaceDE w:val="0"/>
        <w:autoSpaceDN w:val="0"/>
        <w:adjustRightInd w:val="0"/>
        <w:spacing w:after="0" w:line="240" w:lineRule="auto"/>
        <w:ind w:right="180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Реализация вышеуказанных мероприятий направлена на повышение доли налоговых и неналоговых доходов местных бюджетов и, соответственно, повышение самостоятельности органов местного самоуправления при принятии и ис</w:t>
      </w:r>
      <w:r w:rsidR="00141E5D"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полнении расходных обязательств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C2931" w:rsidRPr="00141E5D" w:rsidRDefault="008C2931" w:rsidP="00141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 </w:t>
      </w:r>
      <w:r w:rsidRPr="00141E5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20" w:firstLine="54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На территории района организаций муниципальной формы собственности находящихся в стадии банкротства нет.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20"/>
        <w:rPr>
          <w:rFonts w:ascii="Arial" w:hAnsi="Arial" w:cs="Arial"/>
          <w:sz w:val="16"/>
          <w:szCs w:val="16"/>
          <w:u w:color="FF0000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C2931" w:rsidRPr="00141E5D" w:rsidRDefault="008C2931" w:rsidP="00141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41E5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lastRenderedPageBreak/>
        <w:t>Объем не завершенного в установленные сроки строительства, осуществляемого за счет средств бюджета муниципального, городского округов (муниципального района)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В 2021 году объем не завершенного в установленные сроки строительства, осуществляемого за счет средств бюджета муниципального района, отсутствует.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134"/>
        <w:gridCol w:w="1134"/>
        <w:gridCol w:w="1985"/>
        <w:gridCol w:w="3402"/>
      </w:tblGrid>
      <w:tr w:rsidR="008C2931"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округа, муниципального района</w:t>
            </w:r>
          </w:p>
        </w:tc>
      </w:tr>
      <w:tr w:rsidR="008C293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val="single"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val="single"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и строительный 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Период строи-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тельства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Заказчик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Затраты </w:t>
            </w:r>
            <w:r>
              <w:rPr>
                <w:rFonts w:ascii="Times New Roman CYR" w:hAnsi="Times New Roman CYR" w:cs="Times New Roman CYR"/>
                <w:sz w:val="24"/>
                <w:szCs w:val="24"/>
                <w:u w:val="single" w:color="FF0000"/>
              </w:rPr>
              <w:t>местного бюджета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на строительство объекта, 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Перспективы дальнейшего использования объекта (продолжение СМР/отсутствие финансирования, /списание затрат)</w:t>
            </w:r>
          </w:p>
        </w:tc>
      </w:tr>
      <w:tr w:rsidR="008C293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8C2931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</w:tbl>
    <w:p w:rsidR="008C2931" w:rsidRDefault="008C2931" w:rsidP="008C2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Pr="00141E5D" w:rsidRDefault="008C2931" w:rsidP="00141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141E5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00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По итогам 2021 года, как и в предыдущие годы, просроченная кредиторская задолженность по оплате </w:t>
      </w:r>
      <w:r w:rsidR="00141E5D">
        <w:rPr>
          <w:rFonts w:ascii="Times New Roman CYR" w:hAnsi="Times New Roman CYR" w:cs="Times New Roman CYR"/>
          <w:sz w:val="28"/>
          <w:szCs w:val="28"/>
          <w:u w:color="FF0000"/>
        </w:rPr>
        <w:t>труда отсутствует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,</w:t>
      </w:r>
      <w:r>
        <w:rPr>
          <w:rFonts w:ascii="Times New Roman CYR" w:hAnsi="Times New Roman CYR" w:cs="Times New Roman CYR"/>
          <w:b/>
          <w:bCs/>
          <w:i/>
          <w:iCs/>
          <w:color w:val="006600"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что свидетельствует о проведении органами местного </w:t>
      </w:r>
      <w:r w:rsidR="00141E5D">
        <w:rPr>
          <w:rFonts w:ascii="Times New Roman CYR" w:hAnsi="Times New Roman CYR" w:cs="Times New Roman CYR"/>
          <w:sz w:val="28"/>
          <w:szCs w:val="28"/>
          <w:u w:color="FF0000"/>
        </w:rPr>
        <w:t>самоуправления ответственной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бюджетной политики.</w:t>
      </w:r>
    </w:p>
    <w:p w:rsidR="00141E5D" w:rsidRDefault="00141E5D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Pr="00141E5D" w:rsidRDefault="008C2931" w:rsidP="00141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 </w:t>
      </w:r>
      <w:r w:rsidRPr="00141E5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 xml:space="preserve">           В 2021 году отмечен рост расходов на содержание работников органов местного самоуправления в расчете на одного жителя муниципального образования с 5</w:t>
      </w:r>
      <w:r w:rsidR="00A71C43"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>718,13 рублей до 6</w:t>
      </w:r>
      <w:r w:rsidR="00A71C43"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 xml:space="preserve">329,94 рублей. Это обусловлено с ростом денежного содержания работников органов местного самоуправления, а </w:t>
      </w:r>
      <w:r w:rsidR="00141E5D"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>также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 xml:space="preserve"> сокращением численности постоянного населения (естественное снижение населения – смертность превысила рождаемость и миграционный отток населения).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  <w:u w:color="FF000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u w:color="FF0000"/>
        </w:rPr>
        <w:t xml:space="preserve"> </w:t>
      </w:r>
    </w:p>
    <w:p w:rsidR="00CD4E7D" w:rsidRDefault="00CD4E7D" w:rsidP="008C293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</w:t>
      </w:r>
    </w:p>
    <w:p w:rsidR="008C2931" w:rsidRPr="00CD4E7D" w:rsidRDefault="008C2931" w:rsidP="00CD4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CD4E7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Наличие в муниципальном, городском округе (муниципальном районе) утвержденного генерального плана муниципального, городского округов (схемы территориального планирования муниципального района)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40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В целях дальнейшего развития жилищного строительства на территории района разработаны и утверждены документы территориального планирования и правила землепользования застройки.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662"/>
        <w:gridCol w:w="2970"/>
      </w:tblGrid>
      <w:tr w:rsidR="008C293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Дата</w:t>
            </w: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утверждения</w:t>
            </w:r>
          </w:p>
        </w:tc>
      </w:tr>
      <w:tr w:rsidR="008C293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Генплан Дзержинского сельсовета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 21- 181Р от 14.09.2018</w:t>
            </w:r>
          </w:p>
        </w:tc>
      </w:tr>
      <w:tr w:rsidR="008C293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Генплан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Курайского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сельсовета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 7-44Р от 21.04.2021</w:t>
            </w:r>
          </w:p>
        </w:tc>
      </w:tr>
      <w:tr w:rsidR="008C293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Схема территориального планирования Дзержинского района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№.29-188Р от 28.10.2012 года (актуализирована в 2016 году)</w:t>
            </w:r>
          </w:p>
        </w:tc>
      </w:tr>
    </w:tbl>
    <w:p w:rsidR="00CD4E7D" w:rsidRDefault="00CD4E7D" w:rsidP="00CD4E7D">
      <w:pPr>
        <w:autoSpaceDE w:val="0"/>
        <w:autoSpaceDN w:val="0"/>
        <w:adjustRightInd w:val="0"/>
        <w:spacing w:after="0" w:line="240" w:lineRule="auto"/>
        <w:ind w:right="24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40" w:firstLine="720"/>
        <w:jc w:val="both"/>
        <w:rPr>
          <w:rFonts w:ascii="Arial CYR" w:hAnsi="Arial CYR" w:cs="Arial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</w:t>
      </w:r>
      <w:r w:rsidR="00CD4E7D">
        <w:rPr>
          <w:rFonts w:ascii="Times New Roman CYR" w:hAnsi="Times New Roman CYR" w:cs="Times New Roman CYR"/>
          <w:sz w:val="28"/>
          <w:szCs w:val="28"/>
          <w:u w:color="FF0000"/>
        </w:rPr>
        <w:t>В 2019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году разработан </w:t>
      </w:r>
      <w:r w:rsidR="00CD4E7D">
        <w:rPr>
          <w:rFonts w:ascii="Times New Roman CYR" w:hAnsi="Times New Roman CYR" w:cs="Times New Roman CYR"/>
          <w:sz w:val="28"/>
          <w:szCs w:val="28"/>
          <w:u w:color="FF0000"/>
        </w:rPr>
        <w:t xml:space="preserve">генплан </w:t>
      </w:r>
      <w:proofErr w:type="spellStart"/>
      <w:r w:rsidR="00CD4E7D">
        <w:rPr>
          <w:rFonts w:ascii="Times New Roman CYR" w:hAnsi="Times New Roman CYR" w:cs="Times New Roman CYR"/>
          <w:sz w:val="28"/>
          <w:szCs w:val="28"/>
          <w:u w:color="FF0000"/>
        </w:rPr>
        <w:t>Денисовского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 w:rsidR="00CD4E7D">
        <w:rPr>
          <w:rFonts w:ascii="Times New Roman CYR" w:hAnsi="Times New Roman CYR" w:cs="Times New Roman CYR"/>
          <w:sz w:val="28"/>
          <w:szCs w:val="28"/>
          <w:u w:color="FF0000"/>
        </w:rPr>
        <w:t>сельсовета, в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настоящее время он находится в стадии согласования. В 2020 году разработаны генпланы Михайловского и Александро-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Ершинского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сельсоветов, в 2021 году генплан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Нижнетанайского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 w:rsidR="00CD4E7D">
        <w:rPr>
          <w:rFonts w:ascii="Times New Roman CYR" w:hAnsi="Times New Roman CYR" w:cs="Times New Roman CYR"/>
          <w:sz w:val="28"/>
          <w:szCs w:val="28"/>
          <w:u w:color="FF0000"/>
        </w:rPr>
        <w:t>сельсовета, в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настоящее время они находятся на доработке.</w:t>
      </w:r>
    </w:p>
    <w:p w:rsidR="00CD4E7D" w:rsidRDefault="00CD4E7D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8C2931" w:rsidRPr="00CD4E7D" w:rsidRDefault="008C2931" w:rsidP="00CD4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CD4E7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Удовлетворенность населения деятельностью местного самоуправления муниципального, городского округов (муниципального района)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160"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Уровень удовлетворенности населения Дзержинского района направлениями работы органов местного самоуправления за 2021 год составляет </w:t>
      </w:r>
      <w:r w:rsidR="00CD4E7D">
        <w:rPr>
          <w:rFonts w:ascii="Times New Roman CYR" w:hAnsi="Times New Roman CYR" w:cs="Times New Roman CYR"/>
          <w:sz w:val="28"/>
          <w:szCs w:val="28"/>
          <w:u w:color="FF0000"/>
        </w:rPr>
        <w:t>70,5</w:t>
      </w:r>
      <w:r w:rsidRPr="00CD4E7D"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  <w:u w:color="FF0000"/>
        </w:rPr>
        <w:t>% от числа опрошенных.</w:t>
      </w:r>
    </w:p>
    <w:p w:rsidR="00CD4E7D" w:rsidRDefault="00CD4E7D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u w:color="FF0000"/>
        </w:rPr>
        <w:t>Среднегодовая численность постоянного населения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В 2021 году среднегодовая численность постоянного населения района составила 12</w:t>
      </w:r>
      <w:r w:rsidR="00CD4E7D"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596 человек. Численность населения района на протяжении последних лет постепенно сокращается. По сравнению с 2020 годом численность населения сократилась на 253 человека. 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Ежегодное снижение численности постоянного населения обусловлено двумя причинами: изменение в процессе естественного воспроизводства в силу объективных причин и миграционных потоков. 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Демографическая ситуация в 2021 году характеризовалась следующими показателями: число родившихся увеличилось на 2,1% и составило 145 человек, число умерших увеличилось на 47,4 % и составило 311 человек, по сравнению с 2020 годом умерло на 100 человек больше. Естественная убыль населения -166 человек.</w:t>
      </w:r>
    </w:p>
    <w:p w:rsidR="008C2931" w:rsidRDefault="008C2931" w:rsidP="008C29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Миграционный отток населения составил -</w:t>
      </w:r>
      <w:r w:rsidR="00CD4E7D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219 человек.</w:t>
      </w:r>
    </w:p>
    <w:p w:rsidR="008C2931" w:rsidRDefault="008C2931" w:rsidP="008C29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    По прогнозным оценкам, в ближайшие годы ожидается незначительное увеличение числа новорожденных.</w:t>
      </w:r>
    </w:p>
    <w:p w:rsidR="008C2931" w:rsidRDefault="008C2931" w:rsidP="00CD4E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                                                                                                                                                                                          чел.</w:t>
      </w:r>
    </w:p>
    <w:tbl>
      <w:tblPr>
        <w:tblW w:w="0" w:type="auto"/>
        <w:tblInd w:w="-219" w:type="dxa"/>
        <w:tblLayout w:type="fixed"/>
        <w:tblLook w:val="0000" w:firstRow="0" w:lastRow="0" w:firstColumn="0" w:lastColumn="0" w:noHBand="0" w:noVBand="0"/>
      </w:tblPr>
      <w:tblGrid>
        <w:gridCol w:w="639"/>
        <w:gridCol w:w="2269"/>
        <w:gridCol w:w="826"/>
        <w:gridCol w:w="875"/>
        <w:gridCol w:w="877"/>
        <w:gridCol w:w="938"/>
        <w:gridCol w:w="1102"/>
        <w:gridCol w:w="1057"/>
        <w:gridCol w:w="1412"/>
      </w:tblGrid>
      <w:tr w:rsidR="008C2931">
        <w:trPr>
          <w:trHeight w:val="76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показателя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2018 отчет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2019 отчет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2020   отчет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2021 факт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2022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>оценка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2023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>прогноз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2024</w:t>
            </w: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>прогноз</w:t>
            </w:r>
          </w:p>
        </w:tc>
      </w:tr>
      <w:tr w:rsidR="008C2931">
        <w:trPr>
          <w:trHeight w:val="11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Среднегодовая численность постоянного населения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13159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12986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12849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12596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12262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11992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11755</w:t>
            </w:r>
          </w:p>
        </w:tc>
      </w:tr>
      <w:tr w:rsidR="008C2931">
        <w:trPr>
          <w:trHeight w:val="8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Численность населения на начало года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13254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13064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12908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12789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12404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12119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11864</w:t>
            </w:r>
          </w:p>
        </w:tc>
      </w:tr>
      <w:tr w:rsidR="008C2931">
        <w:trPr>
          <w:trHeight w:val="5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lastRenderedPageBreak/>
              <w:t>38.2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Численность родившихся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145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146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152</w:t>
            </w:r>
          </w:p>
        </w:tc>
      </w:tr>
      <w:tr w:rsidR="008C2931">
        <w:trPr>
          <w:trHeight w:val="49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Численность умерших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268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247</w:t>
            </w:r>
          </w:p>
        </w:tc>
      </w:tr>
      <w:tr w:rsidR="008C2931">
        <w:trPr>
          <w:trHeight w:val="79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Естественный прирост(+),               убыль(-)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-97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-57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-166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-122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-105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  <w:t>-95</w:t>
            </w:r>
          </w:p>
        </w:tc>
      </w:tr>
      <w:tr w:rsidR="008C2931">
        <w:trPr>
          <w:trHeight w:val="8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Численность прибывших 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488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491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494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327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369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378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389</w:t>
            </w:r>
          </w:p>
        </w:tc>
      </w:tr>
      <w:tr w:rsidR="008C2931">
        <w:trPr>
          <w:trHeight w:val="5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Численность убывших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581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546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513</w:t>
            </w:r>
          </w:p>
        </w:tc>
      </w:tr>
      <w:tr w:rsidR="008C2931">
        <w:trPr>
          <w:trHeight w:val="6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38.7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Миграционный прирост(+),    убыль(-)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-99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-219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-163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-150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-124</w:t>
            </w:r>
          </w:p>
        </w:tc>
      </w:tr>
    </w:tbl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C2931" w:rsidRDefault="008C2931" w:rsidP="00CD4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IX. Энергосбережение и повышение энергетической эффективности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12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С 2014 года в крае осуществляется реализация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br/>
        <w:t>в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целях создания экономических и организационных основ стимулирования энергосбережения и повышения энергетической эффективности. В районе утверждена муниципальная программа в области энергосбережения и повышения энергетической эффективности.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120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Pr="00CD4E7D" w:rsidRDefault="008C2931" w:rsidP="00CD4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CD4E7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30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Холодное водоснабжение есть в 1 доме, объем потребления холодной воды за 2021 год согласно индивидуальным приборам учета составил 548,67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куб.м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., в доме проживает 34 человека.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В прогнозируемом периоде 2021-2024 годов показатель останется на уровне 2021 года.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</w:t>
      </w:r>
      <w:r w:rsidR="00CD4E7D">
        <w:rPr>
          <w:rFonts w:ascii="Times New Roman CYR" w:hAnsi="Times New Roman CYR" w:cs="Times New Roman CYR"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39.4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7"/>
        <w:gridCol w:w="2627"/>
        <w:gridCol w:w="1559"/>
        <w:gridCol w:w="992"/>
        <w:gridCol w:w="977"/>
        <w:gridCol w:w="1007"/>
        <w:gridCol w:w="992"/>
        <w:gridCol w:w="992"/>
      </w:tblGrid>
      <w:tr w:rsidR="008C2931">
        <w:trPr>
          <w:trHeight w:val="42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№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2020 факт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2021 факт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2022 оценка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2023</w:t>
            </w: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2024</w:t>
            </w: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прогноз</w:t>
            </w:r>
          </w:p>
        </w:tc>
      </w:tr>
      <w:tr w:rsidR="008C2931">
        <w:trPr>
          <w:trHeight w:val="4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39.4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холодная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куб.метров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 xml:space="preserve"> на 1 проживающего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u w:color="FF0000"/>
              </w:rPr>
              <w:t>22,81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u w:color="FF0000"/>
              </w:rPr>
              <w:t>16,4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u w:color="FF0000"/>
              </w:rPr>
              <w:t>16,14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u w:color="FF0000"/>
              </w:rPr>
              <w:t>16,14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u w:color="FF0000"/>
              </w:rPr>
              <w:t>16,14</w:t>
            </w:r>
          </w:p>
        </w:tc>
      </w:tr>
      <w:tr w:rsidR="008C2931">
        <w:trPr>
          <w:trHeight w:val="45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 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объем потребления воды (холодной)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куб.м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u w:color="FF0000"/>
              </w:rPr>
              <w:t>730,00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u w:color="FF0000"/>
              </w:rPr>
              <w:t>548,67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u w:color="FF0000"/>
              </w:rPr>
              <w:t>548,67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u w:color="FF0000"/>
              </w:rPr>
              <w:t>548,67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u w:color="FF0000"/>
              </w:rPr>
              <w:t>548,67</w:t>
            </w:r>
          </w:p>
        </w:tc>
      </w:tr>
      <w:tr w:rsidR="008C2931">
        <w:trPr>
          <w:trHeight w:val="6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число проживающих в многоквартирных домах, которым отпущен соответствующий энергетический ресурс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  <w:u w:color="FF000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u w:color="FF0000"/>
              </w:rPr>
              <w:t>32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u w:color="FF0000"/>
              </w:rPr>
              <w:t>34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u w:color="FF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u w:color="FF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white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  <w:u w:color="FF0000"/>
              </w:rPr>
              <w:t>34</w:t>
            </w:r>
          </w:p>
        </w:tc>
      </w:tr>
    </w:tbl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0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Удельная величина потребления тепловой энергии рассчитана по нормативам, так как в многоквартирных домах отсутствуют коллективные 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lastRenderedPageBreak/>
        <w:t>приборы учета. По</w:t>
      </w:r>
      <w:r w:rsidR="00CD4E7D"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казатель тепловой энергии в</w:t>
      </w: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 xml:space="preserve"> 2021 году остался на уровне 2020 года.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0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color="FF0000"/>
        </w:rPr>
        <w:t>Прогнозируемые показатели на 2021-2024 годы останутся на уровне 2020 года, так как не планируется увеличение тепловых мощностей и количества потребителей данного ресурса.</w:t>
      </w:r>
    </w:p>
    <w:p w:rsidR="008C2931" w:rsidRDefault="00CD4E7D" w:rsidP="00CD4E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                                                                             </w:t>
      </w:r>
      <w:r w:rsidR="008C2931"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</w:t>
      </w:r>
      <w:r w:rsidR="008C2931">
        <w:rPr>
          <w:rFonts w:ascii="Times New Roman CYR" w:hAnsi="Times New Roman CYR" w:cs="Times New Roman CYR"/>
          <w:sz w:val="24"/>
          <w:szCs w:val="24"/>
          <w:u w:color="FF0000"/>
        </w:rPr>
        <w:t>39.2</w:t>
      </w:r>
    </w:p>
    <w:tbl>
      <w:tblPr>
        <w:tblW w:w="0" w:type="auto"/>
        <w:tblInd w:w="-113" w:type="dxa"/>
        <w:tblLayout w:type="fixed"/>
        <w:tblLook w:val="0000" w:firstRow="0" w:lastRow="0" w:firstColumn="0" w:lastColumn="0" w:noHBand="0" w:noVBand="0"/>
      </w:tblPr>
      <w:tblGrid>
        <w:gridCol w:w="566"/>
        <w:gridCol w:w="3254"/>
        <w:gridCol w:w="1202"/>
        <w:gridCol w:w="897"/>
        <w:gridCol w:w="897"/>
        <w:gridCol w:w="897"/>
        <w:gridCol w:w="929"/>
        <w:gridCol w:w="929"/>
      </w:tblGrid>
      <w:tr w:rsidR="008C293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№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Наименование показателя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Единицы измерения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2020 факт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2021 факт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2022 оценка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0"/>
                <w:szCs w:val="1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8"/>
                <w:szCs w:val="8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2023 прогноз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0"/>
                <w:szCs w:val="10"/>
                <w:u w:color="FF0000"/>
              </w:rPr>
            </w:pPr>
          </w:p>
          <w:p w:rsidR="008C2931" w:rsidRDefault="008C293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8"/>
                <w:szCs w:val="8"/>
                <w:u w:color="FF0000"/>
              </w:rPr>
            </w:pPr>
          </w:p>
          <w:p w:rsidR="008C2931" w:rsidRDefault="008C293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2024 прогноз</w:t>
            </w:r>
          </w:p>
        </w:tc>
      </w:tr>
      <w:tr w:rsidR="008C2931">
        <w:tblPrEx>
          <w:tblBorders>
            <w:right w:val="single" w:sz="4" w:space="4" w:color="auto"/>
          </w:tblBorders>
        </w:tblPrEx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39.2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тепловая энергия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Гкал на 1 кв. метр общей площади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0,42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0,42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0,42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0,42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0,42</w:t>
            </w:r>
          </w:p>
        </w:tc>
      </w:tr>
      <w:tr w:rsidR="008C2931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объем потребленной тепловой энергии в многоквартирных домах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Гкал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3615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3615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3615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2"/>
                <w:szCs w:val="12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3615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3615</w:t>
            </w:r>
          </w:p>
        </w:tc>
      </w:tr>
      <w:tr w:rsidR="008C2931">
        <w:trPr>
          <w:trHeight w:val="6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общая площадь жилых помещений в многоквартирных домах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кв. метр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8605,2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8605,2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8605,2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8605,2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8605,2</w:t>
            </w:r>
          </w:p>
        </w:tc>
      </w:tr>
    </w:tbl>
    <w:p w:rsidR="008C2931" w:rsidRDefault="008C2931" w:rsidP="008C2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highlight w:val="lightGray"/>
          <w:u w:color="FF0000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300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Объем потребления электрической энергии в многоквартирных домах в Дзержинском районе по данным ПАО «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Красноярскэнергосбыт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» за 2021 год составил 331 175 кВт, численность проживающих в многоквартирных домах, которым отпущен соответствующий энергетический ресурс увеличилась по сравнению с 2020 годом.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300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Удельная величина потребления электроэнергии в 2021 году увеличилась по сравнению с 2020 годом. На период 2022-2024 годов показатель останется на уровне 2021 года.</w:t>
      </w:r>
    </w:p>
    <w:p w:rsidR="008C2931" w:rsidRDefault="00CD4E7D" w:rsidP="00CD4E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CYR" w:hAnsi="Arial CYR" w:cs="Arial CYR"/>
          <w:sz w:val="20"/>
          <w:szCs w:val="20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                                                                                  </w:t>
      </w:r>
      <w:r w:rsidR="008C2931"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</w:t>
      </w:r>
      <w:r w:rsidR="008C2931">
        <w:rPr>
          <w:rFonts w:ascii="Times New Roman CYR" w:hAnsi="Times New Roman CYR" w:cs="Times New Roman CYR"/>
          <w:sz w:val="24"/>
          <w:szCs w:val="24"/>
          <w:u w:color="FF0000"/>
        </w:rPr>
        <w:t>39.1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585"/>
        <w:gridCol w:w="1417"/>
        <w:gridCol w:w="993"/>
        <w:gridCol w:w="993"/>
        <w:gridCol w:w="993"/>
        <w:gridCol w:w="993"/>
        <w:gridCol w:w="993"/>
      </w:tblGrid>
      <w:tr w:rsidR="008C2931">
        <w:trPr>
          <w:trHeight w:val="619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Единицы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2020 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2021 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2022 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8"/>
                <w:szCs w:val="8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2023</w:t>
            </w: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color="FF0000"/>
              </w:rPr>
              <w:t>2024 прогноз</w:t>
            </w:r>
          </w:p>
        </w:tc>
      </w:tr>
      <w:tr w:rsidR="008C2931">
        <w:trPr>
          <w:trHeight w:val="70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39.1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электрическая энергия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кВт·ч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 xml:space="preserve"> на 1 проживающего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1192,50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1157,95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1157,95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1157,95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ind w:left="-66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1157,95</w:t>
            </w:r>
          </w:p>
        </w:tc>
      </w:tr>
      <w:tr w:rsidR="008C2931">
        <w:trPr>
          <w:trHeight w:val="45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объем потребления электрической энергии в многоквартирных домах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кВТч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324361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331175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331175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331175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331175</w:t>
            </w:r>
          </w:p>
        </w:tc>
      </w:tr>
      <w:tr w:rsidR="008C2931">
        <w:trPr>
          <w:trHeight w:val="45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 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число проживающих в многоквартирных домах, которым отпущен соответствующий энергетический ресурс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0"/>
                <w:szCs w:val="1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0"/>
                <w:szCs w:val="1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0"/>
                <w:szCs w:val="1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0"/>
                <w:szCs w:val="1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0"/>
                <w:szCs w:val="1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color="FF0000"/>
              </w:rPr>
              <w:t>286</w:t>
            </w:r>
          </w:p>
        </w:tc>
      </w:tr>
    </w:tbl>
    <w:p w:rsidR="008C2931" w:rsidRDefault="00CD4E7D" w:rsidP="00CD4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</w:t>
      </w:r>
      <w:r w:rsidR="008C2931">
        <w:rPr>
          <w:rFonts w:ascii="Times New Roman CYR" w:hAnsi="Times New Roman CYR" w:cs="Times New Roman CYR"/>
          <w:sz w:val="28"/>
          <w:szCs w:val="28"/>
          <w:u w:color="FF0000"/>
        </w:rPr>
        <w:t>Показатели удельной величины потребления природного газа и горячей воды равны "0", так как в районе отсутствует инфраструктура.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Pr="00CD4E7D" w:rsidRDefault="008C2931" w:rsidP="00CD4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 w:rsidRPr="00CD4E7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180" w:firstLine="72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Удельная величина потребления электроэнергии муниципальными бюджетными учреждениями в 2021 году уменьшилась по сравнению с 2020 годом. Объем потребления электрической энергии муниципальными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lastRenderedPageBreak/>
        <w:t xml:space="preserve">бюджетными учреждениями в 2021 году составил 2 129,94 тыс.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кВтч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>, среднегодовая численность постоянного населения Дзержинского района 12596 чел.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Снижение удельной величины потребления электроэнергии муниципальными бюджетными учреждениями достигнуто за счет следующих мероприятий:</w:t>
      </w:r>
    </w:p>
    <w:p w:rsidR="008C2931" w:rsidRDefault="008C2931" w:rsidP="008C2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4" w:right="180" w:hanging="36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замены ламп накаливания на более экономичные источники освещения;</w:t>
      </w:r>
    </w:p>
    <w:p w:rsidR="008C2931" w:rsidRDefault="008C2931" w:rsidP="008C2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4" w:right="180" w:hanging="36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исключение использования электрообогревательных приборов для целей отопления;</w:t>
      </w:r>
    </w:p>
    <w:p w:rsidR="008C2931" w:rsidRDefault="008C2931" w:rsidP="008C2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04" w:right="180" w:hanging="36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установки энергосберегающих насосов в системах отопления.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№40.1</w:t>
      </w:r>
    </w:p>
    <w:tbl>
      <w:tblPr>
        <w:tblW w:w="0" w:type="auto"/>
        <w:tblInd w:w="-113" w:type="dxa"/>
        <w:tblLayout w:type="fixed"/>
        <w:tblLook w:val="0000" w:firstRow="0" w:lastRow="0" w:firstColumn="0" w:lastColumn="0" w:noHBand="0" w:noVBand="0"/>
      </w:tblPr>
      <w:tblGrid>
        <w:gridCol w:w="3455"/>
        <w:gridCol w:w="1235"/>
        <w:gridCol w:w="1179"/>
        <w:gridCol w:w="1124"/>
        <w:gridCol w:w="1265"/>
        <w:gridCol w:w="1267"/>
        <w:gridCol w:w="46"/>
      </w:tblGrid>
      <w:tr w:rsidR="008C2931">
        <w:trPr>
          <w:trHeight w:val="300"/>
        </w:trPr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1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8C2931">
        <w:trPr>
          <w:gridAfter w:val="1"/>
          <w:wAfter w:w="46" w:type="dxa"/>
          <w:trHeight w:val="698"/>
        </w:trPr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2020 </w:t>
            </w: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факт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2021 </w:t>
            </w: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факт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2022 оценка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прогноз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прогноз</w:t>
            </w:r>
          </w:p>
        </w:tc>
      </w:tr>
      <w:tr w:rsidR="008C2931">
        <w:trPr>
          <w:gridAfter w:val="1"/>
          <w:wAfter w:w="46" w:type="dxa"/>
          <w:trHeight w:val="570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40.1. Потребление электрической энергии,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кВт·ч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174,94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169,10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167,27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171,03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174,48</w:t>
            </w:r>
          </w:p>
        </w:tc>
      </w:tr>
      <w:tr w:rsidR="008C2931">
        <w:trPr>
          <w:gridAfter w:val="1"/>
          <w:wAfter w:w="46" w:type="dxa"/>
          <w:trHeight w:val="900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объем потребленной (израсходованной) электрической энергии муниципальными учреждениями,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кВтч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2 247 800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2 129 940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2 051 032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2 051 032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2 051 032</w:t>
            </w:r>
          </w:p>
        </w:tc>
      </w:tr>
      <w:tr w:rsidR="008C2931">
        <w:trPr>
          <w:gridAfter w:val="1"/>
          <w:wAfter w:w="46" w:type="dxa"/>
          <w:trHeight w:val="829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 xml:space="preserve">среднегодовая </w:t>
            </w: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12 849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12 596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12262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11992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11755</w:t>
            </w:r>
          </w:p>
        </w:tc>
      </w:tr>
    </w:tbl>
    <w:p w:rsidR="008C2931" w:rsidRDefault="008C2931" w:rsidP="008C2931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Суммарное количество тепловой энергии муниципальными бюджетными учреждениями за 2021 год составило: 3 784,03 Гкал, общая площадь муниципальных учреждений на 2021 год 52 694,02 </w:t>
      </w:r>
      <w:proofErr w:type="spellStart"/>
      <w:r>
        <w:rPr>
          <w:rFonts w:ascii="Times New Roman CYR" w:hAnsi="Times New Roman CYR" w:cs="Times New Roman CYR"/>
          <w:sz w:val="28"/>
          <w:szCs w:val="28"/>
          <w:u w:color="FF0000"/>
        </w:rPr>
        <w:t>кв.м</w:t>
      </w:r>
      <w:proofErr w:type="spellEnd"/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. </w:t>
      </w:r>
    </w:p>
    <w:p w:rsidR="008C2931" w:rsidRDefault="00CD4E7D" w:rsidP="00CD4E7D">
      <w:pPr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                                                                        </w:t>
      </w:r>
      <w:r w:rsidR="008C2931"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</w:t>
      </w:r>
      <w:r w:rsidR="008C2931">
        <w:rPr>
          <w:rFonts w:ascii="Times New Roman CYR" w:hAnsi="Times New Roman CYR" w:cs="Times New Roman CYR"/>
          <w:sz w:val="24"/>
          <w:szCs w:val="24"/>
          <w:u w:color="FF0000"/>
        </w:rPr>
        <w:t>40.2</w:t>
      </w:r>
    </w:p>
    <w:tbl>
      <w:tblPr>
        <w:tblW w:w="0" w:type="auto"/>
        <w:tblInd w:w="-113" w:type="dxa"/>
        <w:tblLayout w:type="fixed"/>
        <w:tblLook w:val="0000" w:firstRow="0" w:lastRow="0" w:firstColumn="0" w:lastColumn="0" w:noHBand="0" w:noVBand="0"/>
      </w:tblPr>
      <w:tblGrid>
        <w:gridCol w:w="3582"/>
        <w:gridCol w:w="1204"/>
        <w:gridCol w:w="1135"/>
        <w:gridCol w:w="1133"/>
        <w:gridCol w:w="1133"/>
        <w:gridCol w:w="1384"/>
      </w:tblGrid>
      <w:tr w:rsidR="008C2931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5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8C2931">
        <w:trPr>
          <w:trHeight w:val="698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2020 </w:t>
            </w: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факт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2021 факт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2022 оценка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прогноз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прогноз</w:t>
            </w:r>
          </w:p>
        </w:tc>
      </w:tr>
      <w:tr w:rsidR="008C2931">
        <w:trPr>
          <w:trHeight w:val="5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40.2. Потребление тепловой энергии, Гкал на 1 кв. метр общей площади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0,08</w:t>
            </w:r>
          </w:p>
        </w:tc>
      </w:tr>
      <w:tr w:rsidR="008C2931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суммарное количество тепловой энергии, потребленной муниципальными учреждениями, Гкал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4 129,10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3 784,03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3 968,14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3 968,14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3 968,14</w:t>
            </w:r>
          </w:p>
        </w:tc>
      </w:tr>
      <w:tr w:rsidR="008C2931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общая площадь муниципальных учреждений,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кв.м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52 694,02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52 694,02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52 694,02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52 694,02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52 694,02</w:t>
            </w:r>
          </w:p>
        </w:tc>
      </w:tr>
    </w:tbl>
    <w:p w:rsidR="00CD4E7D" w:rsidRDefault="008C2931" w:rsidP="008C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Объем потребления холодной воды муниципальными БУ за 2021 год составил 12 500 м3.</w:t>
      </w:r>
    </w:p>
    <w:p w:rsidR="00CD4E7D" w:rsidRDefault="00CD4E7D" w:rsidP="008C2931">
      <w:pPr>
        <w:autoSpaceDE w:val="0"/>
        <w:autoSpaceDN w:val="0"/>
        <w:adjustRightInd w:val="0"/>
        <w:spacing w:after="0" w:line="240" w:lineRule="auto"/>
        <w:ind w:left="1004"/>
        <w:jc w:val="right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Default="00CD4E7D" w:rsidP="00CD4E7D">
      <w:pPr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 xml:space="preserve">                                                                                </w:t>
      </w:r>
      <w:r w:rsidR="008C2931">
        <w:rPr>
          <w:rFonts w:ascii="Times New Roman CYR" w:hAnsi="Times New Roman CYR" w:cs="Times New Roman CYR"/>
          <w:sz w:val="24"/>
          <w:szCs w:val="24"/>
          <w:u w:color="FF0000"/>
        </w:rPr>
        <w:t>Расшифровка показателя №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</w:t>
      </w:r>
      <w:r w:rsidR="008C2931">
        <w:rPr>
          <w:rFonts w:ascii="Times New Roman CYR" w:hAnsi="Times New Roman CYR" w:cs="Times New Roman CYR"/>
          <w:sz w:val="24"/>
          <w:szCs w:val="24"/>
          <w:u w:color="FF0000"/>
        </w:rPr>
        <w:t>40.4</w:t>
      </w:r>
    </w:p>
    <w:tbl>
      <w:tblPr>
        <w:tblW w:w="0" w:type="auto"/>
        <w:tblInd w:w="-113" w:type="dxa"/>
        <w:tblLayout w:type="fixed"/>
        <w:tblLook w:val="0000" w:firstRow="0" w:lastRow="0" w:firstColumn="0" w:lastColumn="0" w:noHBand="0" w:noVBand="0"/>
      </w:tblPr>
      <w:tblGrid>
        <w:gridCol w:w="3582"/>
        <w:gridCol w:w="1204"/>
        <w:gridCol w:w="1135"/>
        <w:gridCol w:w="1133"/>
        <w:gridCol w:w="1277"/>
        <w:gridCol w:w="1240"/>
      </w:tblGrid>
      <w:tr w:rsidR="008C2931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5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Значения показателя</w:t>
            </w:r>
          </w:p>
        </w:tc>
      </w:tr>
      <w:tr w:rsidR="008C2931">
        <w:trPr>
          <w:trHeight w:val="698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2020 </w:t>
            </w:r>
          </w:p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факт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2021 факт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2022 оценка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2023 прогноз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2024 прогноз</w:t>
            </w:r>
          </w:p>
        </w:tc>
      </w:tr>
      <w:tr w:rsidR="008C2931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40.4. Потребление холодной воды, куб. 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0,99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1,06</w:t>
            </w:r>
          </w:p>
        </w:tc>
      </w:tr>
      <w:tr w:rsidR="008C2931">
        <w:trPr>
          <w:trHeight w:val="9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 xml:space="preserve">объем потребленной (израсходованной) холодной воды муниципальными учреждениями,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куб.м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12 500,00</w:t>
            </w:r>
          </w:p>
        </w:tc>
      </w:tr>
      <w:tr w:rsidR="008C2931">
        <w:trPr>
          <w:trHeight w:val="8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среднегодовая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12 849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12 596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12262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11992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31" w:rsidRDefault="008C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u w:color="FF0000"/>
              </w:rPr>
            </w:pPr>
            <w:r>
              <w:rPr>
                <w:rFonts w:ascii="Times New Roman CYR" w:hAnsi="Times New Roman CYR" w:cs="Times New Roman CYR"/>
                <w:color w:val="000000"/>
                <w:u w:color="FF0000"/>
              </w:rPr>
              <w:t>11755</w:t>
            </w:r>
          </w:p>
        </w:tc>
      </w:tr>
    </w:tbl>
    <w:p w:rsidR="008C2931" w:rsidRDefault="008C2931" w:rsidP="008C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8C2931" w:rsidRDefault="008C2931" w:rsidP="00CD4E7D">
      <w:pPr>
        <w:autoSpaceDE w:val="0"/>
        <w:autoSpaceDN w:val="0"/>
        <w:adjustRightInd w:val="0"/>
        <w:spacing w:before="120" w:after="0" w:line="240" w:lineRule="auto"/>
        <w:ind w:firstLine="60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Показатели удельной величины потребления природного газа и горячей воды равны "0", так как в районе отсутствуе</w:t>
      </w:r>
      <w:r w:rsidR="00CD4E7D">
        <w:rPr>
          <w:rFonts w:ascii="Times New Roman CYR" w:hAnsi="Times New Roman CYR" w:cs="Times New Roman CYR"/>
          <w:sz w:val="28"/>
          <w:szCs w:val="28"/>
          <w:u w:color="FF0000"/>
        </w:rPr>
        <w:t>т инфраструктура.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8C2931" w:rsidRDefault="008C2931" w:rsidP="00CD4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X. Независимая оценка</w:t>
      </w:r>
    </w:p>
    <w:p w:rsidR="00CD4E7D" w:rsidRDefault="00CD4E7D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C2931" w:rsidRPr="00CD4E7D" w:rsidRDefault="008C2931" w:rsidP="00CD4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 xml:space="preserve"> </w:t>
      </w:r>
      <w:r w:rsidRPr="00CD4E7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</w:t>
      </w:r>
      <w:r w:rsidRPr="00CD4E7D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color="FF0000"/>
        </w:rPr>
        <w:t>«</w:t>
      </w:r>
      <w:r w:rsidRPr="00CD4E7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Интернет</w:t>
      </w:r>
      <w:r w:rsidRPr="00CD4E7D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color="FF0000"/>
        </w:rPr>
        <w:t>») (</w:t>
      </w:r>
      <w:r w:rsidRPr="00CD4E7D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  <w:u w:color="FF0000"/>
        </w:rPr>
        <w:t>при наличии)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 В 2021 году организации культуры не проходили независимую оценку качества условий оказания услуг.</w:t>
      </w:r>
    </w:p>
    <w:p w:rsidR="00CD4E7D" w:rsidRDefault="008C2931" w:rsidP="008C2931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     В 20</w:t>
      </w:r>
      <w:r w:rsidRPr="008C2931">
        <w:rPr>
          <w:rFonts w:ascii="Times New Roman" w:hAnsi="Times New Roman" w:cs="Times New Roman"/>
          <w:sz w:val="28"/>
          <w:szCs w:val="28"/>
          <w:u w:color="FF0000"/>
        </w:rPr>
        <w:t>2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>1 году организации образования проходили независимую оценку качества условий оказания услуг. Результат составил 84,78%.</w:t>
      </w:r>
    </w:p>
    <w:p w:rsidR="00CD4E7D" w:rsidRDefault="00CD4E7D" w:rsidP="008C2931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CD4E7D" w:rsidRDefault="00CD4E7D" w:rsidP="008C2931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CD4E7D" w:rsidRDefault="00CD4E7D" w:rsidP="008C2931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CD4E7D" w:rsidRDefault="00CD4E7D" w:rsidP="008C2931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CD4E7D" w:rsidRDefault="00CD4E7D" w:rsidP="008C2931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CD4E7D" w:rsidRDefault="00CD4E7D" w:rsidP="008C2931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8C2931" w:rsidRDefault="00CD4E7D" w:rsidP="008C2931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>Глава района                                                                                В.Н. Дергунов</w:t>
      </w:r>
      <w:r w:rsidR="008C2931" w:rsidRPr="00CD4E7D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</w:p>
    <w:p w:rsidR="008C2931" w:rsidRDefault="008C2931" w:rsidP="008C293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818C6" w:rsidRDefault="000818C6"/>
    <w:sectPr w:rsidR="000818C6" w:rsidSect="008C2931">
      <w:pgSz w:w="12240" w:h="15840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D86AD64"/>
    <w:lvl w:ilvl="0">
      <w:numFmt w:val="bullet"/>
      <w:lvlText w:val="*"/>
      <w:lvlJc w:val="left"/>
    </w:lvl>
  </w:abstractNum>
  <w:abstractNum w:abstractNumId="1" w15:restartNumberingAfterBreak="0">
    <w:nsid w:val="1A707067"/>
    <w:multiLevelType w:val="singleLevel"/>
    <w:tmpl w:val="B890F4B0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31"/>
    <w:rsid w:val="000818C6"/>
    <w:rsid w:val="00141E5D"/>
    <w:rsid w:val="003F35F7"/>
    <w:rsid w:val="007E771F"/>
    <w:rsid w:val="008C2931"/>
    <w:rsid w:val="00945121"/>
    <w:rsid w:val="00A71C43"/>
    <w:rsid w:val="00AC3F4B"/>
    <w:rsid w:val="00C21662"/>
    <w:rsid w:val="00CD4E7D"/>
    <w:rsid w:val="00D31C3E"/>
    <w:rsid w:val="00E27358"/>
    <w:rsid w:val="00E4351F"/>
    <w:rsid w:val="00F0504C"/>
    <w:rsid w:val="00F7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43C2"/>
  <w15:chartTrackingRefBased/>
  <w15:docId w15:val="{952BFAE8-930F-41C3-89D2-29394CDB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www.adm-dzerg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D45EE-06DF-4143-A40A-5742F334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26</Pages>
  <Words>8314</Words>
  <Characters>47391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2022-04-22T02:47:00Z</dcterms:created>
  <dcterms:modified xsi:type="dcterms:W3CDTF">2022-04-27T06:29:00Z</dcterms:modified>
</cp:coreProperties>
</file>